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="21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שודא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דדייני</w:t>
      </w:r>
    </w:p>
    <w:p w:rsidR="00000000" w:rsidDel="00000000" w:rsidP="00000000" w:rsidRDefault="00000000" w:rsidRPr="00000000" w14:paraId="00000002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אוהבו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ואקני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מתרגמינן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שזמנן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שדעתם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יעמידו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דגיטין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יוחסין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קדושין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ונידייניה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להחליט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מחליטים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במקרקעי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דגיטין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מומחה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עוקבא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נשוי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:).</w:t>
      </w:r>
    </w:p>
    <w:p w:rsidR="00000000" w:rsidDel="00000000" w:rsidP="00000000" w:rsidRDefault="00000000" w:rsidRPr="00000000" w14:paraId="0000000E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יתננו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שהדיינין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אוהבין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לדיינין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גוזמא</w:t>
      </w:r>
      <w:r w:rsidDel="00000000" w:rsidR="00000000" w:rsidRPr="00000000">
        <w:rPr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11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להחליט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7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אתאמרת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הבכורה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A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בקונט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פירשתי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שוחד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וגוזמא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1D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ותירוצא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להכריע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להכריע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חלוקתם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בתוספתא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להכריע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1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הכותב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:):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לטוביה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; [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ובעדים</w:t>
      </w:r>
      <w:r w:rsidDel="00000000" w:rsidR="00000000" w:rsidRPr="00000000">
        <w:rPr>
          <w:sz w:val="24"/>
          <w:szCs w:val="24"/>
          <w:rtl w:val="1"/>
        </w:rPr>
        <w:t xml:space="preserve">].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הדעת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=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= </w:t>
      </w:r>
      <w:r w:rsidDel="00000000" w:rsidR="00000000" w:rsidRPr="00000000">
        <w:rPr>
          <w:sz w:val="24"/>
          <w:szCs w:val="24"/>
          <w:rtl w:val="1"/>
        </w:rPr>
        <w:t xml:space="preserve">מחליטין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מומחה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לשפוט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פשרה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7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והארכתי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ובעדיות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שהנתבע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ברמאות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שאבאר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לזכותו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=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=,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תרחק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