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What do we do when two people claim ownership of the same object and there is insufficient evidence to determine ownership? 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Ideally: skim the first daf and a halfo of B”M and note what factors come up regarding our course of action, and what options we have for dealing with the object. 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/.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אוחזין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ויחלוקו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מרביע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רוכבין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מנהיג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ויחלוקו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חולקין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וליתני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ראיתיה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דבראיה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ראיתיה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ומצאתה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+ - </w:t>
      </w:r>
      <w:r w:rsidDel="00000000" w:rsidR="00000000" w:rsidRPr="00000000">
        <w:rPr>
          <w:rtl w:val="1"/>
        </w:rPr>
        <w:t xml:space="preserve">דאתאי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ומצאתה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ומדחזי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דבראיה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וליתני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מצאתיה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דממשנה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'!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וממכר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וצריכא</w:t>
      </w:r>
      <w:r w:rsidDel="00000000" w:rsidR="00000000" w:rsidRPr="00000000">
        <w:rPr>
          <w:rtl w:val="1"/>
        </w:rPr>
        <w:t xml:space="preserve">, )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חבראי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אתפיס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חבראי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יהיבנא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אשקליה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וחבראי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ליזיל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ליזבן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וממכר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ולחזי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מתרוייהו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כורחיה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ננס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אגבהוה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כסומכוס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כסומכוס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חולקין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הראיה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תפסי</w:t>
      </w:r>
      <w:r w:rsidDel="00000000" w:rsidR="00000000" w:rsidRPr="00000000">
        <w:rPr>
          <w:rtl w:val="1"/>
        </w:rPr>
        <w:t xml:space="preserve"> - [</w:t>
      </w:r>
      <w:r w:rsidDel="00000000" w:rsidR="00000000" w:rsidRPr="00000000">
        <w:rPr>
          <w:rtl w:val="1"/>
        </w:rPr>
        <w:t xml:space="preserve">פלגי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סומכוס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חולקין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סומכוס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סומכוס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סומכוס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סומכוס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סומכוס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סומכוס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סומכוס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אגבהוה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דלודי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תינח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מחוורתא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כדשנין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פנקסו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ונוטל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רמאי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האמנתיה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ושקלי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סומכוס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'/.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משנגחה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לולד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משנגחה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משתלם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שמואל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סומכוס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ממון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המוטל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בספק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חולקין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חכמים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אומרים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גדול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המוציא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מחבירו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נגחן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וניחזי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לרדיא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לנכסתא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וניחזי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רדיא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לרדיא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לנכסתא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דאוקיר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רדיא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What alternative models do we have: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גזלתי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שנים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שהפקידו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אצל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מאתים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מאתים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מאתים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נותן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והשאר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מונח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אליהו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יוסי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הפסיד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הרמאי</w:t>
      </w:r>
      <w:r w:rsidDel="00000000" w:rsidR="00000000" w:rsidRPr="00000000">
        <w:rPr>
          <w:b w:val="1"/>
          <w:rtl w:val="1"/>
        </w:rPr>
        <w:t xml:space="preserve">? -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מונח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אליהו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הרמאי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פקדונן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הרמאי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ארבא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river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boat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תיפסוה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אדמייתינא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תפסינן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תפסינן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תפסינן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תפסינן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אפקוה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מפקינן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מפקינן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והלכתא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דתפס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יחלוקו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דדייני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וילדה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וילדה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משלקחתי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יחלוקו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להאי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נהרדעי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להשבון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ארבא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שבנהר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אוחזין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תיפסוה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ימכרנה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לידו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תפסינן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תפסינן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דתפסי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תפסינן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כדלקמיה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דתפסי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מפקינן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אפקוה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דתפסינן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מעכבין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ישיבו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מפקינן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שמצאוהו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יחזירוהו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והלכתא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דתפסינן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היוצאין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לפנינו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נתברר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הקדמה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בצפרא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כתבתינהו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כתבתינהו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ואוקמיה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זיכהו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שוין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יחלוקו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מוחזק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מחבירו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שודא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דדייני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אוהבו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יחלוקו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שודא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מתרגמינן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משתדלין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ויבררו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יחלוקו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יחלוקו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</w:t>
        <w:br w:type="textWrapping"/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מהמחליף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דאדשמואל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יחלוקו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דלמרמי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למילתייהו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what factors are critical in determining our response according to the Rishonim: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(for those with less time, on the bottom of the Daf I’ve copied the Rishonim and highlighted the key lines) </w:t>
      </w:r>
    </w:p>
    <w:p w:rsidR="00000000" w:rsidDel="00000000" w:rsidP="00000000" w:rsidRDefault="00000000" w:rsidRPr="00000000" w14:paraId="0000002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וממכר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קניתיה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יחלוקו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קנאוה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ארגתיה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ארגתיה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יחלוקו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Which do Tosfot identify as critical:</w:t>
      </w:r>
    </w:p>
    <w:p w:rsidR="00000000" w:rsidDel="00000000" w:rsidP="00000000" w:rsidRDefault="00000000" w:rsidRPr="00000000" w14:paraId="0000002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ויחלוקו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דאוחזין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דתפיס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יחלוקו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למתני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דהחלוקה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ולסומכוס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טענותיהם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יחלוקו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אוחזין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ויחלוקו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מוחזקים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דחשבינן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שמערערין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וסומכין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ויוציאנה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יגזול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ארגתיה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ארגתיה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בטענותיהן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יחלוקו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יחלוקו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אגבהוה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פלגינן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שלישי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מחלוקתן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ויחלוקו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ומפרשינן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בסימטא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שהפקידו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דתפסי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דתפסי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דלודי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פנקסו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שהפקידו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דתפסי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. +</w:t>
      </w:r>
      <w:r w:rsidDel="00000000" w:rsidR="00000000" w:rsidRPr="00000000">
        <w:rPr>
          <w:rtl w:val="1"/>
        </w:rPr>
        <w:t xml:space="preserve">הכונה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מחנוני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פנקסו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.+</w:t>
      </w:r>
    </w:p>
    <w:p w:rsidR="00000000" w:rsidDel="00000000" w:rsidP="00000000" w:rsidRDefault="00000000" w:rsidRPr="00000000" w14:paraId="0000003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מזדקקינן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דתפיס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rtl w:val="1"/>
        </w:rPr>
        <w:t xml:space="preserve">וי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רמאי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ודקאמרינן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שירשתיה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מאבותי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דאיכא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למימר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אימור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תרוייהו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אגבהוה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וכשחולקין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נטל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ויצא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ארגתיה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ארגתיה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לרמאי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שטמ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</w:t>
      </w:r>
      <w:r w:rsidDel="00000000" w:rsidR="00000000" w:rsidRPr="00000000">
        <w:rPr>
          <w:rtl w:val="1"/>
        </w:rPr>
        <w:t xml:space="preserve">, [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יחלוקו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יחלוקו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מזדקקינן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מזדקקינן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ארגתיה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ארגתיה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A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-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אוחזין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ויחלוקו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דיחלוקו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דאוחזין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מוחזקים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שיגזול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להעמיד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הנסכא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לשאר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אליהו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מוחזקים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ולריב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אוחזין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מדמדמי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ואדשמעתין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אגבהוה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יחלוקו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שהפקידו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וממחליף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לאוקומי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דתרוייהו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יחלוקו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יחלוקו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דתרוייהו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ריב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דאוחזין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יחלוקו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אוחזין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לפירושו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אוחזין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ולית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אוחזין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דבטלית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אוחזין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יחלוקו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אוחזין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D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מחציה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ויחלוקו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ואסיקנא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ותירץ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דתפיסי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סהדי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דתפיס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דתפיס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תפיסה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נחלקה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יחלוקו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בסימטא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תירוצא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דאקשינן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ואקשינן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דלדבריהם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שהפקידו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מקשה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שתפוס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שתפוסין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רמאי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מדמדמי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רמאי</w:t>
      </w:r>
      <w:r w:rsidDel="00000000" w:rsidR="00000000" w:rsidRPr="00000000">
        <w:rPr>
          <w:sz w:val="24"/>
          <w:szCs w:val="24"/>
          <w:rtl w:val="1"/>
        </w:rPr>
        <w:t xml:space="preserve">. [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רמאי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עתיד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קושיין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יחלוקו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מדאקשי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היוצאים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יחלוקו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ופרקינן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דמילתא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אומדנא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וכדגרסי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דתפסי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תרווייהו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</w:t>
      </w:r>
    </w:p>
    <w:p w:rsidR="00000000" w:rsidDel="00000000" w:rsidP="00000000" w:rsidRDefault="00000000" w:rsidRPr="00000000" w14:paraId="00000041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Rishonim with key lines highlighted: </w:t>
      </w:r>
    </w:p>
    <w:p w:rsidR="00000000" w:rsidDel="00000000" w:rsidP="00000000" w:rsidRDefault="00000000" w:rsidRPr="00000000" w14:paraId="0000004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5">
      <w:pPr>
        <w:bidi w:val="1"/>
        <w:spacing w:after="240" w:before="240" w:line="21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וממכר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קניתיה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יחלוקו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למימר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שניהם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קנאוה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המוכר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ארגתיה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ארגתיה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יחלוקו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דודאי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מינייהו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רמאי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ותהא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מונחת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שיבא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אליהו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9">
      <w:pPr>
        <w:bidi w:val="1"/>
        <w:spacing w:after="240" w:before="240" w:line="216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ויחלוקו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תימה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הבתים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דאוחזין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שאני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דחשיב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כאילו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בודאי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החצי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סהדי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דמאי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דתפיס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דידיה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שהנפקד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מוחזקים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החלוקה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טלית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למימר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דתרוייהו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יחלוקו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למתני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דהחלוקה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בארבא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אע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דאפשר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שניהם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מוחזקין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דינא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גבר</w:t>
      </w:r>
    </w:p>
    <w:p w:rsidR="00000000" w:rsidDel="00000000" w:rsidP="00000000" w:rsidRDefault="00000000" w:rsidRPr="00000000" w14:paraId="0000004A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ולסומכוס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החלוקה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טענותיהם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יחלוקו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4D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אוחזין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מצאתיה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ויחלוקו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דכיון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דשניהם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לפנינו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מוחזקים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בגוף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הטלית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צריכין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לפסוק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חלוקה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רואין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אדם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חשבינן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הלכך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אפשר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לפסוק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כאן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דאלים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גבר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הבתים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דהתם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מהן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מוחזק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שמערערין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מחוייבין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למחות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יודעין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ראוי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לפסוק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חלוקה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נפסיד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לאחד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מהן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כדין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ויותר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ראוי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שתגבר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ידו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בראיות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שיזכה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וסומכין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שהדין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קרוב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להביא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ראיות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להעמיד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לגזול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ויוציאנה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דשניהם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מוחזקין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בגוף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הטלית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מחוייבין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למחות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יגזול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האחד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חבירו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פוסקים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חלוקה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במציאה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דנקיט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מתרוייהו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דתרוייהו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דנקיט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מינייהו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ארגתיה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ארגתיה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דודאי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רמאות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בטענותיהן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אמרינן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יחלוקו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יחלוקו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דתרוייהו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דתרוייהו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מחלוקתן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מחלוקתן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לנפקד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כללא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שלישי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דפקדון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דהנפקד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הנפקד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לנפקד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מחלוקתן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51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ויחלוקו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ומפרשינן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דממונא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תפיסי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בסימטא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משנתינו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ששניהם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אדוקים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מוציאין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מידם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דאלים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גבר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אקשינן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שהפקידו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דילמא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מתני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דכיון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דתפסי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מפקינן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מינייהו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שכשם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מוציאין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מידם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דאלים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גבר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מוציאים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מידם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יהא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מונח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וקנסינן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דלודי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דתפסי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למיקנס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דלודי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דאקשו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פנקסו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שהפקידו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דתפסי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אליהו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2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spacing w:before="20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55">
      <w:pPr>
        <w:bidi w:val="1"/>
        <w:spacing w:before="200" w:line="21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דהתם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טעמא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דאמרינן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דודאי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רמאי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דמר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דתרוייהו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דתרוייהו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ודקאמרינן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שירשתיה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מאבותי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במציאה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למימר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אימור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תרוייהו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הדדי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אגבהוה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וכשחולקין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נטל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ואחד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ויצא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6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58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-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אוחזין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ויחלוקו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דיחלוקו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דאוחזין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דכיון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ששניהם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מוחזקים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להניח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שיגזול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האחד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לחבירו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דחשיב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כאילו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יודעין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לשניהן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להעמיד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בחזקת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בידו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הנסכא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לשאר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אליהו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מוחזקים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ולריב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נראה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אוחזין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מדמדמי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ואדשמעתין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אגבהוה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הכי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בארבא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דאיכא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רמאי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יחלוקו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דינא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שהפקידו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וממחליף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לאוקומי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דתרוייהו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יחלוקו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למימר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יחלוקו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דאפשר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להיות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דהוה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ארבא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דתרוייהו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ועוד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ריב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דאוחזין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רמאי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יחלוקו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אוחזין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לפירושו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אוחזין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ולית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אוחזין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דבטלית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אוחזין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יחלוקו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אוחזין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spacing w:after="240" w:before="240" w:line="21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5B">
      <w:pPr>
        <w:bidi w:val="1"/>
        <w:spacing w:after="240" w:before="240" w:line="216" w:lineRule="auto"/>
        <w:rPr/>
      </w:pP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מחציה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ויחלוקו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ואסיקנא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ותירץ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דתפיסי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תופס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סהדי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דתפיס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דתפיס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תפיסה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מהניא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כאלו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נחלקה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הילכך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יחלוקו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בסימטא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תירוצא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דאקשינן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בסמוך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ואקשינן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דלדבריהם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שיבוא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שהפקידו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מקשה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שתפוס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דעת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שתפוסין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ועומדין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הפרש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ודאי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רמאי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לדליכא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ודאי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רמאי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מדמדמי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רמאי</w:t>
      </w:r>
      <w:r w:rsidDel="00000000" w:rsidR="00000000" w:rsidRPr="00000000">
        <w:rPr>
          <w:sz w:val="24"/>
          <w:szCs w:val="24"/>
          <w:rtl w:val="1"/>
        </w:rPr>
        <w:t xml:space="preserve">. [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רמאי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עתיד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ומיהו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לעיקר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קושיין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נ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עוד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לתרץ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דשאני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הכא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דליכא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למיקם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עלה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דמילתא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וכל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היכא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דליכא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למיקם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עלה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דמילתא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יחלוקו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מדאקשי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היוצאים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יחלוקו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ופרקינן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דמילתא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אומדנא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וכדגרסי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דתפסי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תרווייהו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