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תלמוד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בבלי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מסכת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מציעא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עמוד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</w:t>
      </w:r>
    </w:p>
    <w:p w:rsidR="00000000" w:rsidDel="00000000" w:rsidP="00000000" w:rsidRDefault="00000000" w:rsidRPr="00000000" w14:paraId="00000002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רעיא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דהוו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יומא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חיותא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בסהדי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יומא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מסרו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סהדי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לסוף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להו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דברים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מעולם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אתו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סהדי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אסהידו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דאכל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תרתי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מינייהו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זירא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לדרבי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חייא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קמייתא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משתבע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אשארא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. -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אביי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משתבע</w:t>
      </w:r>
      <w:r w:rsidDel="00000000" w:rsidR="00000000" w:rsidRPr="00000000">
        <w:rPr>
          <w:sz w:val="32"/>
          <w:szCs w:val="32"/>
          <w:rtl w:val="1"/>
        </w:rPr>
        <w:t xml:space="preserve">? </w:t>
      </w:r>
      <w:r w:rsidDel="00000000" w:rsidR="00000000" w:rsidRPr="00000000">
        <w:rPr>
          <w:sz w:val="32"/>
          <w:szCs w:val="32"/>
          <w:rtl w:val="1"/>
        </w:rPr>
        <w:t xml:space="preserve">והא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גזלן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הוא</w:t>
      </w:r>
      <w:r w:rsidDel="00000000" w:rsidR="00000000" w:rsidRPr="00000000">
        <w:rPr>
          <w:sz w:val="32"/>
          <w:szCs w:val="32"/>
          <w:rtl w:val="1"/>
        </w:rPr>
        <w:t xml:space="preserve">! -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שכנגדו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קאמינא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השתא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נמי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דליתא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לדרבי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חייא</w:t>
      </w:r>
      <w:r w:rsidDel="00000000" w:rsidR="00000000" w:rsidRPr="00000000">
        <w:rPr>
          <w:sz w:val="32"/>
          <w:szCs w:val="32"/>
          <w:rtl w:val="0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נחייביה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מדרב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דתנן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מנה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בידך</w:t>
      </w:r>
      <w:r w:rsidDel="00000000" w:rsidR="00000000" w:rsidRPr="00000000">
        <w:rPr>
          <w:sz w:val="32"/>
          <w:szCs w:val="32"/>
          <w:rtl w:val="1"/>
        </w:rPr>
        <w:t xml:space="preserve">! -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בידי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ואמר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רב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נחמן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משביעין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אותו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שבועת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0"/>
        </w:rPr>
        <w:t xml:space="preserve">. - </w:t>
      </w:r>
      <w:r w:rsidDel="00000000" w:rsidR="00000000" w:rsidRPr="00000000">
        <w:rPr>
          <w:sz w:val="32"/>
          <w:szCs w:val="32"/>
          <w:rtl w:val="1"/>
        </w:rPr>
        <w:t xml:space="preserve">דרב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תקנתא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ותקנתא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לתקנתא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עבדינן</w:t>
      </w:r>
      <w:r w:rsidDel="00000000" w:rsidR="00000000" w:rsidRPr="00000000">
        <w:rPr>
          <w:sz w:val="32"/>
          <w:szCs w:val="32"/>
          <w:rtl w:val="0"/>
        </w:rPr>
        <w:t xml:space="preserve">. - </w:t>
      </w:r>
      <w:r w:rsidDel="00000000" w:rsidR="00000000" w:rsidRPr="00000000">
        <w:rPr>
          <w:sz w:val="32"/>
          <w:szCs w:val="32"/>
          <w:rtl w:val="1"/>
        </w:rPr>
        <w:t xml:space="preserve">ותיפוק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דהוה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רועה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יהודה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סתם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פסול</w:t>
      </w:r>
      <w:r w:rsidDel="00000000" w:rsidR="00000000" w:rsidRPr="00000000">
        <w:rPr>
          <w:sz w:val="32"/>
          <w:szCs w:val="32"/>
          <w:rtl w:val="1"/>
        </w:rPr>
        <w:t xml:space="preserve">! -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קשיא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הא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דידיה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הא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דעלמא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דאי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תימא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אנן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חיותא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לרועה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מסרינן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? </w:t>
      </w:r>
      <w:r w:rsidDel="00000000" w:rsidR="00000000" w:rsidRPr="00000000">
        <w:rPr>
          <w:sz w:val="32"/>
          <w:szCs w:val="32"/>
          <w:rtl w:val="1"/>
        </w:rPr>
        <w:t xml:space="preserve">והא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כתיב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לפני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תתן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מכשל</w:t>
      </w:r>
      <w:r w:rsidDel="00000000" w:rsidR="00000000" w:rsidRPr="00000000">
        <w:rPr>
          <w:sz w:val="32"/>
          <w:szCs w:val="32"/>
          <w:rtl w:val="1"/>
        </w:rPr>
        <w:t xml:space="preserve">?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חזקה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חוטא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רש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מסכת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מציעא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עמוד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שהסיתו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חכמים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לכך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להסיתו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להודות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וטעמא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מפרש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בשבועות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): </w:t>
      </w:r>
      <w:r w:rsidDel="00000000" w:rsidR="00000000" w:rsidRPr="00000000">
        <w:rPr>
          <w:sz w:val="32"/>
          <w:szCs w:val="32"/>
          <w:rtl w:val="1"/>
        </w:rPr>
        <w:t xml:space="preserve">חזקה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טוען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בידו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בבא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מציעא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עמוד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בידך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בידי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ומשביעין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; </w:t>
      </w:r>
      <w:r w:rsidDel="00000000" w:rsidR="00000000" w:rsidRPr="00000000">
        <w:rPr>
          <w:sz w:val="32"/>
          <w:szCs w:val="32"/>
          <w:rtl w:val="1"/>
        </w:rPr>
        <w:t xml:space="preserve">מאי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טעמא</w:t>
      </w:r>
      <w:r w:rsidDel="00000000" w:rsidR="00000000" w:rsidRPr="00000000">
        <w:rPr>
          <w:sz w:val="32"/>
          <w:szCs w:val="32"/>
          <w:rtl w:val="1"/>
        </w:rPr>
        <w:t xml:space="preserve">? </w:t>
      </w:r>
      <w:r w:rsidDel="00000000" w:rsidR="00000000" w:rsidRPr="00000000">
        <w:rPr>
          <w:sz w:val="32"/>
          <w:szCs w:val="32"/>
          <w:rtl w:val="1"/>
        </w:rPr>
        <w:t xml:space="preserve">חזקה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תובע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עליו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אדרבה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חזקה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מעיז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פניו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בפני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חובו</w:t>
      </w:r>
      <w:r w:rsidDel="00000000" w:rsidR="00000000" w:rsidRPr="00000000">
        <w:rPr>
          <w:sz w:val="32"/>
          <w:szCs w:val="32"/>
          <w:rtl w:val="1"/>
        </w:rPr>
        <w:t xml:space="preserve">! </w:t>
      </w:r>
      <w:r w:rsidDel="00000000" w:rsidR="00000000" w:rsidRPr="00000000">
        <w:rPr>
          <w:sz w:val="32"/>
          <w:szCs w:val="32"/>
          <w:rtl w:val="1"/>
        </w:rPr>
        <w:t xml:space="preserve">אשתמוטי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דקא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משתמיט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סבר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עד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דהוה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ופרענא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תדע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דאמר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אבין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חסדא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הכופר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במלוה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כשר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לעדות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בפקדון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פסול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לעדות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חביבא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מתני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אסיפא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מנה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בידך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הן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למחר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תנהו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נתתיו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לך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; </w:t>
      </w:r>
      <w:r w:rsidDel="00000000" w:rsidR="00000000" w:rsidRPr="00000000">
        <w:rPr>
          <w:sz w:val="32"/>
          <w:szCs w:val="32"/>
          <w:rtl w:val="1"/>
        </w:rPr>
        <w:t xml:space="preserve">ואמר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משביעין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מאן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דמתני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ארישא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אסיפא</w:t>
      </w:r>
      <w:r w:rsidDel="00000000" w:rsidR="00000000" w:rsidRPr="00000000">
        <w:rPr>
          <w:sz w:val="32"/>
          <w:szCs w:val="32"/>
          <w:rtl w:val="1"/>
        </w:rPr>
        <w:t xml:space="preserve">; </w:t>
      </w:r>
      <w:r w:rsidDel="00000000" w:rsidR="00000000" w:rsidRPr="00000000">
        <w:rPr>
          <w:sz w:val="32"/>
          <w:szCs w:val="32"/>
          <w:rtl w:val="1"/>
        </w:rPr>
        <w:t xml:space="preserve">ומאן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דמתני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אסיפא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דאיכא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דררא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דממונא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אבל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התם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דליכא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דררא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דממונא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תוס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מהכא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משמע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דהלכה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כלישנא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קמא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דפ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הדיינים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שם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מא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ושם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מאן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דלא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בעי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דררא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דממונא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אפי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מייתי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סיפא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דנתתיו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פירש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בשערים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יודע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ישבע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שאינו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יודע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תוס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מא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ומאן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דתני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אסיפא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</w:t>
      </w:r>
      <w:r w:rsidDel="00000000" w:rsidR="00000000" w:rsidRPr="00000000">
        <w:rPr>
          <w:sz w:val="32"/>
          <w:szCs w:val="32"/>
          <w:rtl w:val="1"/>
        </w:rPr>
        <w:t xml:space="preserve">' - </w:t>
      </w:r>
      <w:r w:rsidDel="00000000" w:rsidR="00000000" w:rsidRPr="00000000">
        <w:rPr>
          <w:sz w:val="32"/>
          <w:szCs w:val="32"/>
          <w:rtl w:val="1"/>
        </w:rPr>
        <w:t xml:space="preserve">או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השתא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דלא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איתמר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הלכתא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כחד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מהנך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לישני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היכא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דליכא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דררא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דממונא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משבעינן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ליה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מספק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דהמע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ואעפ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כ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מוחה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בדיינים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המשביעין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וקצת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נראה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להשביע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דאיכא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דאמרי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טפל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ראשון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כמו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שאומר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ריב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אור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דאזלינן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בתר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המיקל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משמע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בפ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דב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דף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.) </w:t>
      </w:r>
      <w:r w:rsidDel="00000000" w:rsidR="00000000" w:rsidRPr="00000000">
        <w:rPr>
          <w:sz w:val="32"/>
          <w:szCs w:val="32"/>
          <w:rtl w:val="1"/>
        </w:rPr>
        <w:t xml:space="preserve">גבי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רעיא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דמייתי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התם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מילתא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נ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ארישא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דמתני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ור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דוחה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דאיכא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למימר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דהתם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רישא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דמילתא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נקט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ומסיפא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פריך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דמשבעינן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ליה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היכא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דאיכא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דררא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דממונא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דהתם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נמי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איכא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דררא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דממונא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מאחר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שהיו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רגילין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למסור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לו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בכל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יום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ועוד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דהא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איכא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סהדי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דאכל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תרי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מינייהו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גאון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משבעינן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משמתינן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תנאי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שיהא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בשמתא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משלם</w:t>
      </w:r>
      <w:r w:rsidDel="00000000" w:rsidR="00000000" w:rsidRPr="00000000">
        <w:rPr>
          <w:sz w:val="32"/>
          <w:szCs w:val="32"/>
          <w:rtl w:val="1"/>
        </w:rPr>
        <w:t xml:space="preserve">."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ריטב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ומשביעין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פירוש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בדורו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תקנו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כן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ונקרא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המלכה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כדמתרגמינן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דברים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</w:t>
      </w:r>
      <w:r w:rsidDel="00000000" w:rsidR="00000000" w:rsidRPr="00000000">
        <w:rPr>
          <w:sz w:val="32"/>
          <w:szCs w:val="32"/>
          <w:rtl w:val="1"/>
        </w:rPr>
        <w:t xml:space="preserve">') </w:t>
      </w:r>
      <w:r w:rsidDel="00000000" w:rsidR="00000000" w:rsidRPr="00000000">
        <w:rPr>
          <w:sz w:val="32"/>
          <w:szCs w:val="32"/>
          <w:rtl w:val="1"/>
        </w:rPr>
        <w:t xml:space="preserve">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יסיתך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אחיך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אמך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ימלכינך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שלא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יהא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קופץ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המלכה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כמו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רגילים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הארץ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לעשות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קודם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תקנה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לפי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יודעין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פטורין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משבועה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ופירושים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נאמרו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אבל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נראה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יותר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נכון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מכולם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אישתמוטי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אשתמיט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ואע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דבבבא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מציעא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') </w:t>
      </w:r>
      <w:r w:rsidDel="00000000" w:rsidR="00000000" w:rsidRPr="00000000">
        <w:rPr>
          <w:sz w:val="32"/>
          <w:szCs w:val="32"/>
          <w:rtl w:val="1"/>
        </w:rPr>
        <w:t xml:space="preserve">אמרינן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להדיא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תלינן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בהשמטה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במודה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במקצת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זהו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לדין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תורה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אבל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אחרונים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סמכו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לומר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דאף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בכופר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בכל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תלינן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דעביד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לאישתמוטי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מאירי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לח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ופירושו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המלכה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ועצה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יסיתך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שפירושו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ימלכינך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כלומר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שנמלכו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חכמי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אחרונים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ונתיעצו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ביניהם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כשראו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הדורות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מעידים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לכפירת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הלואותיהם</w:t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תוס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תימה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משתמיט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וי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נחמן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מחייב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אפי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היכא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שתובעו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החפץ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בידך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שייך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אישתמוטי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גאון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שמשביעין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אקרקעות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שייך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אישתמוטי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וקשה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דבפ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הדיינים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דף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ושם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אישתמוטי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משמע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מחייב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אישתמוטי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דקא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פריך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אדרבה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מעיז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ומשני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דמשתמיט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וי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כיון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דבשאינו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בעין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משתמיט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אף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כשהוא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בעין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לא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פלוג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אקושיא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חייא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סמיך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תוס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אדרבה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מעיז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</w:t>
      </w:r>
      <w:r w:rsidDel="00000000" w:rsidR="00000000" w:rsidRPr="00000000">
        <w:rPr>
          <w:sz w:val="32"/>
          <w:szCs w:val="32"/>
          <w:rtl w:val="1"/>
        </w:rPr>
        <w:t xml:space="preserve">' - </w:t>
      </w:r>
      <w:r w:rsidDel="00000000" w:rsidR="00000000" w:rsidRPr="00000000">
        <w:rPr>
          <w:sz w:val="32"/>
          <w:szCs w:val="32"/>
          <w:rtl w:val="1"/>
        </w:rPr>
        <w:t xml:space="preserve">וא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דאמרי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בפירקין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מפני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אמרה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תורה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מודה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מקצת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הטענה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ישבע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חזקה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אדם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מעיז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וי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משתמיט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לכפור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כמו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לכפור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במקצת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וליכא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מיגו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תוס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קידושין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מג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A">
      <w:pPr>
        <w:bidi w:val="1"/>
        <w:spacing w:before="200" w:line="216" w:lineRule="auto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והשתא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דתקון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</w:t>
      </w:r>
      <w:r w:rsidDel="00000000" w:rsidR="00000000" w:rsidRPr="00000000">
        <w:rPr>
          <w:sz w:val="32"/>
          <w:szCs w:val="32"/>
          <w:rtl w:val="1"/>
        </w:rPr>
        <w:t xml:space="preserve">' - </w:t>
      </w:r>
      <w:r w:rsidDel="00000000" w:rsidR="00000000" w:rsidRPr="00000000">
        <w:rPr>
          <w:sz w:val="32"/>
          <w:szCs w:val="32"/>
          <w:rtl w:val="1"/>
        </w:rPr>
        <w:t xml:space="preserve">וא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למה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יהיו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העדים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נאמנים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לאחר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שנשבעו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לומר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פרענום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שוב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אינם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נוגעים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בעדות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ואומר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דלכך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נאמנים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לאחר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שנשבעו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דרחמנא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אמר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דברים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יט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עדים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יקום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דבר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דמשמע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הנאמנים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בדיבור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בלבד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אבל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העדים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הטעונים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לישבע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קודם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שיאמנו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דבריהם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אין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ממש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בעדותם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תלמוד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בבלי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מסכת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עמוד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שכיר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כורחיה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מיתגר</w:t>
      </w:r>
      <w:r w:rsidDel="00000000" w:rsidR="00000000" w:rsidRPr="00000000">
        <w:rPr>
          <w:sz w:val="32"/>
          <w:szCs w:val="32"/>
          <w:rtl w:val="1"/>
        </w:rPr>
        <w:t xml:space="preserve">!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בעה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טרוד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בפועליו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הוא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וליתב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ליה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! </w:t>
      </w:r>
      <w:r w:rsidDel="00000000" w:rsidR="00000000" w:rsidRPr="00000000">
        <w:rPr>
          <w:sz w:val="32"/>
          <w:szCs w:val="32"/>
          <w:rtl w:val="1"/>
        </w:rPr>
        <w:t xml:space="preserve">כדי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להפיס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דעתו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בעה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ספר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זרוע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חלק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פסקי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מציעא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סימן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</w:t>
      </w:r>
    </w:p>
    <w:p w:rsidR="00000000" w:rsidDel="00000000" w:rsidP="00000000" w:rsidRDefault="00000000" w:rsidRPr="00000000" w14:paraId="00000034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מיכן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מורי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אבי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העזרי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דברי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הגאונים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שפסקו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שנשבעים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הקרקעות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גאון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כתב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בשערים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יצחק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אלפסי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הדיינין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פסקו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שנשבעין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הקרקעות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... </w:t>
      </w:r>
      <w:r w:rsidDel="00000000" w:rsidR="00000000" w:rsidRPr="00000000">
        <w:rPr>
          <w:sz w:val="32"/>
          <w:szCs w:val="32"/>
          <w:rtl w:val="1"/>
        </w:rPr>
        <w:t xml:space="preserve">אלא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אמר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רבא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מדרבנן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כדי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להפיס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דעתו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בעל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הבית</w:t>
      </w:r>
      <w:r w:rsidDel="00000000" w:rsidR="00000000" w:rsidRPr="00000000">
        <w:rPr>
          <w:b w:val="1"/>
          <w:sz w:val="32"/>
          <w:szCs w:val="32"/>
          <w:rtl w:val="1"/>
        </w:rPr>
        <w:t xml:space="preserve">):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הא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למדת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שנשבעין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שבועת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היסת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על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הקרקעות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וכן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השיב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יצחק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אברהם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כדברי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האי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גאון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כאשר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כתבתי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הכונס</w:t>
      </w:r>
      <w:r w:rsidDel="00000000" w:rsidR="00000000" w:rsidRPr="00000000">
        <w:rPr>
          <w:sz w:val="32"/>
          <w:szCs w:val="32"/>
          <w:rtl w:val="1"/>
        </w:rPr>
        <w:t xml:space="preserve">....</w:t>
      </w:r>
    </w:p>
    <w:p w:rsidR="00000000" w:rsidDel="00000000" w:rsidP="00000000" w:rsidRDefault="00000000" w:rsidRPr="00000000" w14:paraId="00000035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מיהו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יב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זצ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דוחה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ראיות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שלהם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דשאני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התם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וא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דתקון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במטלטלין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דמדרבנן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הכי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נמי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תקין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בקרקעות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גב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דמדרבנן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פטור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דשאני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מטלטלין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שהתורה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חייבה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במודה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במקצת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ואשכחן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חיוב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מדאוריי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במודה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מקצת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תקון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בכופר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הכל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אבל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קרקעו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דלא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אשכחן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רמז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מדאורייתא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מסתבר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דתקון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רבנן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רבינו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יהונתן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מלוניל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הרי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מסכת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</w:p>
    <w:p w:rsidR="00000000" w:rsidDel="00000000" w:rsidP="00000000" w:rsidRDefault="00000000" w:rsidRPr="00000000" w14:paraId="0000003D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[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/</w:t>
      </w:r>
      <w:r w:rsidDel="00000000" w:rsidR="00000000" w:rsidRPr="00000000">
        <w:rPr>
          <w:sz w:val="32"/>
          <w:szCs w:val="32"/>
          <w:rtl w:val="1"/>
        </w:rPr>
        <w:t xml:space="preserve">ב</w:t>
      </w:r>
      <w:r w:rsidDel="00000000" w:rsidR="00000000" w:rsidRPr="00000000">
        <w:rPr>
          <w:sz w:val="32"/>
          <w:szCs w:val="32"/>
          <w:rtl w:val="1"/>
        </w:rPr>
        <w:t xml:space="preserve">] </w:t>
      </w:r>
      <w:r w:rsidDel="00000000" w:rsidR="00000000" w:rsidRPr="00000000">
        <w:rPr>
          <w:sz w:val="32"/>
          <w:szCs w:val="32"/>
          <w:rtl w:val="1"/>
        </w:rPr>
        <w:t xml:space="preserve">ומשביעין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אותו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היסת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שומא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ששמו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חכמים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להפיס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דעתו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דמלוה</w:t>
      </w:r>
      <w:r w:rsidDel="00000000" w:rsidR="00000000" w:rsidRPr="00000000">
        <w:rPr>
          <w:sz w:val="32"/>
          <w:szCs w:val="32"/>
          <w:rtl w:val="1"/>
        </w:rPr>
        <w:t xml:space="preserve">, </w:t>
      </w:r>
    </w:p>
    <w:p w:rsidR="00000000" w:rsidDel="00000000" w:rsidP="00000000" w:rsidRDefault="00000000" w:rsidRPr="00000000" w14:paraId="0000003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before="200" w:line="21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מאירי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לח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spacing w:before="200" w:line="216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1"/>
        </w:rPr>
        <w:t xml:space="preserve">וי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שהוא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לשון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הסרה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מענין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ויסיתם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דוד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מעליו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כלומר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שתקנוה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חכמי</w:t>
      </w:r>
      <w:r w:rsidDel="00000000" w:rsidR="00000000" w:rsidRPr="00000000">
        <w:rPr>
          <w:sz w:val="32"/>
          <w:szCs w:val="32"/>
          <w:rtl w:val="1"/>
        </w:rPr>
        <w:t xml:space="preserve">' </w:t>
      </w:r>
      <w:r w:rsidDel="00000000" w:rsidR="00000000" w:rsidRPr="00000000">
        <w:rPr>
          <w:sz w:val="32"/>
          <w:szCs w:val="32"/>
          <w:rtl w:val="1"/>
        </w:rPr>
        <w:t xml:space="preserve">האחרונים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הנתבע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במקום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שאין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עליו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דין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שבועה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התורה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כדי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להפיס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דעת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התובע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ולהסיר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מלבו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תלונה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שיכיר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וידע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שהבית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יצאו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בענינו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ידי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חובתם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ועשו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בדבר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כפי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כחם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