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Returning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study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going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focus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itself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physical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object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Instead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focusing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conceptual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power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potency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analysing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perspective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concrete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object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physical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characteristics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parameters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requirements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physical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On a purely a priori place we could assert three options: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There are no limitations, other than those that would make it physically impossible. There is a very strict formal construct that needs to be adhered to, that defines each and every detail of its construction and constitution. Something in between.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ספר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ובקומוס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ובקנקנתום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ובכל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קיימא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כותבין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Clearly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everything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goes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approach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isn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correct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But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clear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measure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flexibility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strict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requirements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flexibility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reflect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overall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defining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feature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דאוכפי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סקרתא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צבע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קומא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מעפצים</w:t>
      </w:r>
      <w:r w:rsidDel="00000000" w:rsidR="00000000" w:rsidRPr="00000000">
        <w:rPr>
          <w:rtl w:val="1"/>
        </w:rPr>
        <w:t xml:space="preserve"> ... </w:t>
      </w:r>
      <w:r w:rsidDel="00000000" w:rsidR="00000000" w:rsidRPr="00000000">
        <w:rPr>
          <w:u w:val="single"/>
          <w:rtl w:val="1"/>
        </w:rPr>
        <w:t xml:space="preserve">ועוד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דספר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בהבונה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קג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יגנז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:) ...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קטו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תשטו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ונהגו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כתיבה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גסה</w:t>
      </w:r>
      <w:r w:rsidDel="00000000" w:rsidR="00000000" w:rsidRPr="00000000">
        <w:rPr>
          <w:u w:val="single"/>
          <w:rtl w:val="1"/>
        </w:rPr>
        <w:t xml:space="preserve"> {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אשורית</w:t>
      </w:r>
      <w:r w:rsidDel="00000000" w:rsidR="00000000" w:rsidRPr="00000000">
        <w:rPr>
          <w:u w:val="single"/>
          <w:rtl w:val="1"/>
        </w:rPr>
        <w:t xml:space="preserve">} </w:t>
      </w:r>
      <w:r w:rsidDel="00000000" w:rsidR="00000000" w:rsidRPr="00000000">
        <w:rPr>
          <w:u w:val="single"/>
          <w:rtl w:val="1"/>
        </w:rPr>
        <w:t xml:space="preserve">ובשירטוט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כעין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ספר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ופסולה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יכתבם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ובכתיבה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שקורין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משטי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עשוי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פסול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בגט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חירות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כתיבה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שקורין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משטי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ופסלוהו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רבותינו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דילפי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[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] </w:t>
      </w:r>
      <w:r w:rsidDel="00000000" w:rsidR="00000000" w:rsidRPr="00000000">
        <w:rPr>
          <w:u w:val="single"/>
          <w:rtl w:val="1"/>
        </w:rPr>
        <w:t xml:space="preserve">מאשה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דכתי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וכתב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קרוי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כתיבה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ופי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מורי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שמחה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סומכי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שנהגו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לכתוב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פסוקי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בכתבי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הדיוטות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שירטוט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דכתיבה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שקורין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משטי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כותבין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שטרי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הדיוטות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חשוב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כתב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מתוקן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כהוגן</w:t>
      </w:r>
      <w:r w:rsidDel="00000000" w:rsidR="00000000" w:rsidRPr="00000000">
        <w:rPr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פרכי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הקומץ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רוחותיה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נוגעו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שנוגעין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ולעולם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גויל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מקיף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קרויה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ופסולה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כדאיתא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בהקומץ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רבה</w:t>
      </w:r>
      <w:r w:rsidDel="00000000" w:rsidR="00000000" w:rsidRPr="00000000">
        <w:rPr>
          <w:u w:val="single"/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לחלק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דדוקא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בתפילין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כעין</w:t>
      </w:r>
      <w:r w:rsidDel="00000000" w:rsidR="00000000" w:rsidRPr="00000000">
        <w:rPr>
          <w:u w:val="single"/>
          <w:rtl w:val="1"/>
        </w:rPr>
        <w:t xml:space="preserve">) [</w:t>
      </w:r>
      <w:r w:rsidDel="00000000" w:rsidR="00000000" w:rsidRPr="00000000">
        <w:rPr>
          <w:u w:val="single"/>
          <w:rtl w:val="1"/>
        </w:rPr>
        <w:t xml:space="preserve">בעינן</w:t>
      </w:r>
      <w:r w:rsidDel="00000000" w:rsidR="00000000" w:rsidRPr="00000000">
        <w:rPr>
          <w:u w:val="single"/>
          <w:rtl w:val="1"/>
        </w:rPr>
        <w:t xml:space="preserve">] </w:t>
      </w:r>
      <w:r w:rsidDel="00000000" w:rsidR="00000000" w:rsidRPr="00000000">
        <w:rPr>
          <w:u w:val="single"/>
          <w:rtl w:val="1"/>
        </w:rPr>
        <w:t xml:space="preserve">שתהא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מוקפת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גויל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בגט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דהא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כתיבה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כתובה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כתיבה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ופסלו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u w:val="single"/>
          <w:rtl w:val="1"/>
        </w:rPr>
        <w:t xml:space="preserve">ורבינו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יצחק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אברהם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לעשות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זיונין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בגט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בס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מזויינת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בתגין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שעטנ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כדין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קרויה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ומדלשבת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ראיה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שאותיותיה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וליזיינו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קדמונינו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לזיין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u w:val="single"/>
          <w:rtl w:val="1"/>
        </w:rPr>
        <w:t xml:space="preserve">ורבינו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מיימון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זצ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וצריך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שיהי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מבואר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היטב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באותו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הכתב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שיכתוב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שידעו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לקרותו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הקטנים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שמכירין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הכתב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סכלים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נבונים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בינונים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ומבולבל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בעיני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שט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משטי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באותו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הכתב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שיכתוב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ומבולבל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