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45" w:rsidRDefault="00823452" w:rsidP="00A40968">
      <w:pPr>
        <w:bidi/>
        <w:rPr>
          <w:rtl/>
        </w:rPr>
      </w:pPr>
      <w:r>
        <w:rPr>
          <w:rFonts w:hint="cs"/>
          <w:rtl/>
        </w:rPr>
        <w:t>בקיאות #3</w:t>
      </w:r>
    </w:p>
    <w:p w:rsidR="009D469F" w:rsidRDefault="00F45716" w:rsidP="00197A06">
      <w:pPr>
        <w:bidi/>
        <w:rPr>
          <w:rtl/>
        </w:rPr>
      </w:pPr>
      <w:r>
        <w:rPr>
          <w:rFonts w:hint="cs"/>
          <w:rtl/>
        </w:rPr>
        <w:t>גמרא</w:t>
      </w:r>
      <w:r w:rsidR="00A40968">
        <w:t xml:space="preserve"> </w:t>
      </w:r>
      <w:r w:rsidR="00A40968">
        <w:rPr>
          <w:rFonts w:hint="cs"/>
          <w:rtl/>
        </w:rPr>
        <w:t>חולין צ</w:t>
      </w:r>
      <w:r>
        <w:rPr>
          <w:rFonts w:hint="cs"/>
          <w:rtl/>
        </w:rPr>
        <w:t xml:space="preserve">ח. </w:t>
      </w:r>
      <w:r w:rsidR="00197A06">
        <w:rPr>
          <w:rFonts w:hint="cs"/>
          <w:rtl/>
        </w:rPr>
        <w:t>אמר רב חייא בר אבא ... שם צט. דאמר מקום חתך בעלמא אסור והכא שרי</w:t>
      </w:r>
    </w:p>
    <w:p w:rsidR="003756AF" w:rsidRDefault="00823452" w:rsidP="00823452">
      <w:pPr>
        <w:pStyle w:val="ListParagraph"/>
        <w:numPr>
          <w:ilvl w:val="0"/>
          <w:numId w:val="3"/>
        </w:numPr>
      </w:pPr>
      <w:r>
        <w:t xml:space="preserve">What are the two traditions regarding </w:t>
      </w:r>
      <w:proofErr w:type="spellStart"/>
      <w:r>
        <w:rPr>
          <w:i/>
          <w:iCs/>
        </w:rPr>
        <w:t>bittul</w:t>
      </w:r>
      <w:proofErr w:type="spellEnd"/>
      <w:r>
        <w:t xml:space="preserve"> cited in the name of R. </w:t>
      </w:r>
      <w:proofErr w:type="spellStart"/>
      <w:r>
        <w:t>Yehoshua</w:t>
      </w:r>
      <w:proofErr w:type="spellEnd"/>
      <w:r>
        <w:t xml:space="preserve"> b. Levi?</w:t>
      </w:r>
    </w:p>
    <w:p w:rsidR="00823452" w:rsidRDefault="00823452" w:rsidP="00823452">
      <w:pPr>
        <w:pStyle w:val="ListParagraph"/>
        <w:numPr>
          <w:ilvl w:val="0"/>
          <w:numId w:val="3"/>
        </w:numPr>
      </w:pPr>
      <w:r>
        <w:t xml:space="preserve">How does </w:t>
      </w:r>
      <w:proofErr w:type="spellStart"/>
      <w:r>
        <w:t>Rashi</w:t>
      </w:r>
      <w:proofErr w:type="spellEnd"/>
      <w:r>
        <w:t xml:space="preserve"> (</w:t>
      </w:r>
      <w:proofErr w:type="spellStart"/>
      <w:r>
        <w:t>s.v</w:t>
      </w:r>
      <w:proofErr w:type="spellEnd"/>
      <w:r>
        <w:t xml:space="preserve">. </w:t>
      </w:r>
      <w:r>
        <w:rPr>
          <w:i/>
          <w:iCs/>
        </w:rPr>
        <w:t>be-</w:t>
      </w:r>
      <w:proofErr w:type="spellStart"/>
      <w:r>
        <w:rPr>
          <w:i/>
          <w:iCs/>
        </w:rPr>
        <w:t>shishim</w:t>
      </w:r>
      <w:proofErr w:type="spellEnd"/>
      <w:r>
        <w:t xml:space="preserve">) understand the relationship between </w:t>
      </w:r>
      <w:proofErr w:type="spellStart"/>
      <w:r>
        <w:rPr>
          <w:i/>
          <w:iCs/>
        </w:rPr>
        <w:t>shishim</w:t>
      </w:r>
      <w:proofErr w:type="spellEnd"/>
      <w:r>
        <w:t xml:space="preserve"> and </w:t>
      </w:r>
      <w:proofErr w:type="spellStart"/>
      <w:r>
        <w:rPr>
          <w:i/>
          <w:iCs/>
        </w:rPr>
        <w:t>ta`am</w:t>
      </w:r>
      <w:proofErr w:type="spellEnd"/>
      <w:r>
        <w:t>?</w:t>
      </w:r>
    </w:p>
    <w:p w:rsidR="00823452" w:rsidRDefault="00823452" w:rsidP="00823452">
      <w:pPr>
        <w:pStyle w:val="ListParagraph"/>
        <w:numPr>
          <w:ilvl w:val="0"/>
          <w:numId w:val="3"/>
        </w:numPr>
      </w:pPr>
      <w:r>
        <w:t xml:space="preserve">Read </w:t>
      </w:r>
      <w:proofErr w:type="spellStart"/>
      <w:r>
        <w:t>Rashi</w:t>
      </w:r>
      <w:proofErr w:type="spellEnd"/>
      <w:r>
        <w:t xml:space="preserve"> </w:t>
      </w:r>
      <w:proofErr w:type="spellStart"/>
      <w:r>
        <w:t>s.v</w:t>
      </w:r>
      <w:proofErr w:type="spellEnd"/>
      <w:r>
        <w:t xml:space="preserve">. </w:t>
      </w:r>
      <w:r>
        <w:rPr>
          <w:i/>
          <w:iCs/>
        </w:rPr>
        <w:t>u-</w:t>
      </w:r>
      <w:proofErr w:type="spellStart"/>
      <w:r>
        <w:rPr>
          <w:i/>
          <w:iCs/>
        </w:rPr>
        <w:t>sheneihem</w:t>
      </w:r>
      <w:proofErr w:type="spellEnd"/>
      <w:r>
        <w:t xml:space="preserve"> very carefully – what is the difference between the </w:t>
      </w:r>
      <w:proofErr w:type="gramStart"/>
      <w:r>
        <w:t>requirement</w:t>
      </w:r>
      <w:proofErr w:type="gramEnd"/>
      <w:r>
        <w:t xml:space="preserve"> of </w:t>
      </w:r>
      <w:proofErr w:type="spellStart"/>
      <w:r>
        <w:rPr>
          <w:i/>
          <w:iCs/>
        </w:rPr>
        <w:t>shishim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me’ah</w:t>
      </w:r>
      <w:proofErr w:type="spellEnd"/>
      <w:r>
        <w:t xml:space="preserve"> vs. nullification of the flavor?</w:t>
      </w:r>
    </w:p>
    <w:p w:rsidR="00823452" w:rsidRDefault="00823452" w:rsidP="00823452">
      <w:pPr>
        <w:pStyle w:val="ListParagraph"/>
        <w:numPr>
          <w:ilvl w:val="0"/>
          <w:numId w:val="3"/>
        </w:numPr>
      </w:pPr>
      <w:r>
        <w:t xml:space="preserve">What are the two versions of the dispute between the </w:t>
      </w:r>
      <w:proofErr w:type="spellStart"/>
      <w:r>
        <w:rPr>
          <w:i/>
          <w:iCs/>
        </w:rPr>
        <w:t>Tanna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Kamma</w:t>
      </w:r>
      <w:proofErr w:type="spellEnd"/>
      <w:r>
        <w:t xml:space="preserve"> and R. Shimon?</w:t>
      </w:r>
    </w:p>
    <w:p w:rsidR="00823452" w:rsidRDefault="00823452" w:rsidP="00823452">
      <w:pPr>
        <w:pStyle w:val="ListParagraph"/>
        <w:numPr>
          <w:ilvl w:val="0"/>
          <w:numId w:val="3"/>
        </w:numPr>
      </w:pPr>
      <w:r>
        <w:t xml:space="preserve">How does the </w:t>
      </w:r>
      <w:proofErr w:type="spellStart"/>
      <w:proofErr w:type="gramStart"/>
      <w:r>
        <w:t>gemara</w:t>
      </w:r>
      <w:proofErr w:type="spellEnd"/>
      <w:proofErr w:type="gramEnd"/>
      <w:r>
        <w:t xml:space="preserve"> understand the source for the dispute between the two opinions of </w:t>
      </w:r>
      <w:proofErr w:type="spellStart"/>
      <w:r>
        <w:rPr>
          <w:i/>
          <w:iCs/>
        </w:rPr>
        <w:t>shishim</w:t>
      </w:r>
      <w:proofErr w:type="spellEnd"/>
      <w:r>
        <w:t xml:space="preserve"> and </w:t>
      </w:r>
      <w:proofErr w:type="spellStart"/>
      <w:r>
        <w:rPr>
          <w:i/>
          <w:iCs/>
        </w:rPr>
        <w:t>me’ah</w:t>
      </w:r>
      <w:proofErr w:type="spellEnd"/>
      <w:r>
        <w:t>?</w:t>
      </w:r>
    </w:p>
    <w:p w:rsidR="00823452" w:rsidRDefault="00823452" w:rsidP="00823452">
      <w:pPr>
        <w:pStyle w:val="ListParagraph"/>
        <w:numPr>
          <w:ilvl w:val="0"/>
          <w:numId w:val="3"/>
        </w:numPr>
      </w:pPr>
      <w:r>
        <w:t xml:space="preserve">Why does the </w:t>
      </w:r>
      <w:proofErr w:type="spellStart"/>
      <w:proofErr w:type="gramStart"/>
      <w:r>
        <w:t>gemara</w:t>
      </w:r>
      <w:proofErr w:type="spellEnd"/>
      <w:proofErr w:type="gramEnd"/>
      <w:r>
        <w:t xml:space="preserve"> initially think that the </w:t>
      </w:r>
      <w:proofErr w:type="spellStart"/>
      <w:r>
        <w:rPr>
          <w:i/>
          <w:iCs/>
        </w:rPr>
        <w:t>zero`a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besheilah</w:t>
      </w:r>
      <w:proofErr w:type="spellEnd"/>
      <w:r>
        <w:t xml:space="preserve"> should not be able to serve as a source that all </w:t>
      </w:r>
      <w:proofErr w:type="spellStart"/>
      <w:r>
        <w:rPr>
          <w:i/>
          <w:iCs/>
        </w:rPr>
        <w:t>issurim</w:t>
      </w:r>
      <w:proofErr w:type="spellEnd"/>
      <w:r>
        <w:t xml:space="preserve"> are nullified with 60 or 100?</w:t>
      </w:r>
    </w:p>
    <w:p w:rsidR="00823452" w:rsidRDefault="00197A06" w:rsidP="00197A06">
      <w:pPr>
        <w:pStyle w:val="ListParagraph"/>
        <w:numPr>
          <w:ilvl w:val="0"/>
          <w:numId w:val="3"/>
        </w:numPr>
      </w:pPr>
      <w:r>
        <w:rPr>
          <w:rFonts w:hint="cs"/>
        </w:rPr>
        <w:t>W</w:t>
      </w:r>
      <w:r>
        <w:t xml:space="preserve">hat is </w:t>
      </w:r>
      <w:proofErr w:type="spellStart"/>
      <w:r>
        <w:t>Abaye’s</w:t>
      </w:r>
      <w:proofErr w:type="spellEnd"/>
      <w:r>
        <w:t xml:space="preserve"> explanation of </w:t>
      </w:r>
      <w:r>
        <w:rPr>
          <w:rFonts w:hint="cs"/>
          <w:rtl/>
        </w:rPr>
        <w:t>זהו היתר הבא מכלל איסור</w:t>
      </w:r>
      <w:r>
        <w:t>?</w:t>
      </w:r>
    </w:p>
    <w:p w:rsidR="009875A9" w:rsidRDefault="009875A9" w:rsidP="00197A06">
      <w:pPr>
        <w:pStyle w:val="ListParagraph"/>
        <w:numPr>
          <w:ilvl w:val="0"/>
          <w:numId w:val="3"/>
        </w:numPr>
      </w:pPr>
      <w:r>
        <w:t xml:space="preserve">According to </w:t>
      </w:r>
      <w:proofErr w:type="spellStart"/>
      <w:r>
        <w:t>Rashi</w:t>
      </w:r>
      <w:proofErr w:type="spellEnd"/>
      <w:r>
        <w:t xml:space="preserve">, in the absence </w:t>
      </w:r>
      <w:r w:rsidR="00855022">
        <w:t xml:space="preserve">of the 60/100 learned from </w:t>
      </w:r>
      <w:proofErr w:type="spellStart"/>
      <w:r w:rsidR="00855022">
        <w:rPr>
          <w:i/>
          <w:iCs/>
        </w:rPr>
        <w:t>zero`a</w:t>
      </w:r>
      <w:proofErr w:type="spellEnd"/>
      <w:r w:rsidR="00855022">
        <w:rPr>
          <w:i/>
          <w:iCs/>
        </w:rPr>
        <w:t xml:space="preserve"> </w:t>
      </w:r>
      <w:proofErr w:type="spellStart"/>
      <w:r w:rsidR="00855022">
        <w:rPr>
          <w:i/>
          <w:iCs/>
        </w:rPr>
        <w:t>besheilah</w:t>
      </w:r>
      <w:proofErr w:type="spellEnd"/>
      <w:r w:rsidR="00855022">
        <w:t>, what would have been the requisite amount for nullification?</w:t>
      </w:r>
    </w:p>
    <w:p w:rsidR="00197A06" w:rsidRDefault="00197A06" w:rsidP="00197A06">
      <w:pPr>
        <w:pStyle w:val="ListParagraph"/>
        <w:numPr>
          <w:ilvl w:val="0"/>
          <w:numId w:val="3"/>
        </w:numPr>
      </w:pPr>
      <w:r>
        <w:t xml:space="preserve">What is R. </w:t>
      </w:r>
      <w:proofErr w:type="spellStart"/>
      <w:r>
        <w:t>Yehudah’s</w:t>
      </w:r>
      <w:proofErr w:type="spellEnd"/>
      <w:r>
        <w:t xml:space="preserve"> position by nullification of </w:t>
      </w:r>
      <w:r>
        <w:rPr>
          <w:i/>
          <w:iCs/>
        </w:rPr>
        <w:t>min be-</w:t>
      </w:r>
      <w:proofErr w:type="spellStart"/>
      <w:r>
        <w:rPr>
          <w:i/>
          <w:iCs/>
        </w:rPr>
        <w:t>mino</w:t>
      </w:r>
      <w:proofErr w:type="spellEnd"/>
      <w:r>
        <w:t xml:space="preserve">?  What is his source? </w:t>
      </w:r>
    </w:p>
    <w:p w:rsidR="00197A06" w:rsidRDefault="00197A06" w:rsidP="00197A06">
      <w:pPr>
        <w:pStyle w:val="ListParagraph"/>
        <w:numPr>
          <w:ilvl w:val="0"/>
          <w:numId w:val="3"/>
        </w:numPr>
      </w:pPr>
      <w:r>
        <w:t xml:space="preserve">What is the </w:t>
      </w:r>
      <w:proofErr w:type="spellStart"/>
      <w:r>
        <w:rPr>
          <w:i/>
          <w:iCs/>
        </w:rPr>
        <w:t>hiddush</w:t>
      </w:r>
      <w:proofErr w:type="spellEnd"/>
      <w:r>
        <w:t xml:space="preserve"> of </w:t>
      </w:r>
      <w:proofErr w:type="spellStart"/>
      <w:r>
        <w:rPr>
          <w:i/>
          <w:iCs/>
        </w:rPr>
        <w:t>zero`a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besheilah</w:t>
      </w:r>
      <w:proofErr w:type="spellEnd"/>
      <w:r>
        <w:t xml:space="preserve"> that seemingly renders it unusable as a paradigm for other prohibitions?  If so, why can it be used to teach 60/100 by all other prohibitions?</w:t>
      </w:r>
    </w:p>
    <w:p w:rsidR="009875A9" w:rsidRDefault="009875A9" w:rsidP="009875A9">
      <w:pPr>
        <w:pStyle w:val="ListParagraph"/>
        <w:numPr>
          <w:ilvl w:val="0"/>
          <w:numId w:val="3"/>
        </w:numPr>
      </w:pPr>
      <w:r>
        <w:rPr>
          <w:rFonts w:hint="cs"/>
        </w:rPr>
        <w:t>W</w:t>
      </w:r>
      <w:r>
        <w:t xml:space="preserve">hat is </w:t>
      </w:r>
      <w:proofErr w:type="spellStart"/>
      <w:r>
        <w:t>Rava’s</w:t>
      </w:r>
      <w:proofErr w:type="spellEnd"/>
      <w:r>
        <w:t xml:space="preserve"> explanation of </w:t>
      </w:r>
      <w:r>
        <w:rPr>
          <w:rFonts w:hint="cs"/>
          <w:rtl/>
        </w:rPr>
        <w:t>זהו היתר הבא מכלל איסור</w:t>
      </w:r>
      <w:r>
        <w:t>?</w:t>
      </w:r>
    </w:p>
    <w:p w:rsidR="00197A06" w:rsidRDefault="009875A9" w:rsidP="00197A06">
      <w:pPr>
        <w:pStyle w:val="ListParagraph"/>
        <w:numPr>
          <w:ilvl w:val="0"/>
          <w:numId w:val="3"/>
        </w:numPr>
      </w:pPr>
      <w:r>
        <w:t xml:space="preserve">What is the source for </w:t>
      </w:r>
      <w:proofErr w:type="spellStart"/>
      <w:r>
        <w:rPr>
          <w:i/>
          <w:iCs/>
        </w:rPr>
        <w:t>ta`am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ke-iqqar</w:t>
      </w:r>
      <w:proofErr w:type="spellEnd"/>
      <w:r>
        <w:t xml:space="preserve"> by </w:t>
      </w:r>
      <w:proofErr w:type="spellStart"/>
      <w:r>
        <w:rPr>
          <w:i/>
          <w:iCs/>
        </w:rPr>
        <w:t>qodshim</w:t>
      </w:r>
      <w:proofErr w:type="spellEnd"/>
      <w:r>
        <w:t>?</w:t>
      </w:r>
    </w:p>
    <w:p w:rsidR="009875A9" w:rsidRDefault="009875A9" w:rsidP="009875A9">
      <w:pPr>
        <w:pStyle w:val="ListParagraph"/>
        <w:numPr>
          <w:ilvl w:val="0"/>
          <w:numId w:val="3"/>
        </w:numPr>
      </w:pPr>
      <w:r>
        <w:rPr>
          <w:rFonts w:hint="cs"/>
        </w:rPr>
        <w:t>W</w:t>
      </w:r>
      <w:r>
        <w:t xml:space="preserve">hat is </w:t>
      </w:r>
      <w:proofErr w:type="spellStart"/>
      <w:r>
        <w:t>Ravina’s</w:t>
      </w:r>
      <w:proofErr w:type="spellEnd"/>
      <w:r>
        <w:t xml:space="preserve"> explanation of </w:t>
      </w:r>
      <w:r>
        <w:rPr>
          <w:rFonts w:hint="cs"/>
          <w:rtl/>
        </w:rPr>
        <w:t>זהו היתר הבא מכלל איסור</w:t>
      </w:r>
      <w:r>
        <w:t>?</w:t>
      </w:r>
    </w:p>
    <w:p w:rsidR="001B45C1" w:rsidRDefault="001B45C1" w:rsidP="009875A9">
      <w:pPr>
        <w:pStyle w:val="ListParagraph"/>
        <w:numPr>
          <w:ilvl w:val="0"/>
          <w:numId w:val="3"/>
        </w:numPr>
      </w:pPr>
      <w:r>
        <w:t xml:space="preserve">Why does the </w:t>
      </w:r>
      <w:proofErr w:type="spellStart"/>
      <w:proofErr w:type="gramStart"/>
      <w:r>
        <w:t>gemara</w:t>
      </w:r>
      <w:proofErr w:type="spellEnd"/>
      <w:proofErr w:type="gramEnd"/>
      <w:r>
        <w:t xml:space="preserve"> not say that </w:t>
      </w:r>
      <w:proofErr w:type="spellStart"/>
      <w:r>
        <w:rPr>
          <w:i/>
          <w:iCs/>
        </w:rPr>
        <w:t>mekom</w:t>
      </w:r>
      <w:proofErr w:type="spellEnd"/>
      <w:r>
        <w:rPr>
          <w:i/>
          <w:iCs/>
        </w:rPr>
        <w:t xml:space="preserve"> ha-</w:t>
      </w:r>
      <w:proofErr w:type="spellStart"/>
      <w:r>
        <w:rPr>
          <w:i/>
          <w:iCs/>
        </w:rPr>
        <w:t>hatakh</w:t>
      </w:r>
      <w:proofErr w:type="spellEnd"/>
      <w:r>
        <w:t xml:space="preserve"> is prohibited by </w:t>
      </w:r>
      <w:proofErr w:type="spellStart"/>
      <w:r>
        <w:rPr>
          <w:i/>
          <w:iCs/>
        </w:rPr>
        <w:t>qodshim</w:t>
      </w:r>
      <w:proofErr w:type="spellEnd"/>
      <w:r>
        <w:t xml:space="preserve"> the way it does say in reference to </w:t>
      </w:r>
      <w:r>
        <w:rPr>
          <w:i/>
          <w:iCs/>
        </w:rPr>
        <w:t>min be-</w:t>
      </w:r>
      <w:proofErr w:type="spellStart"/>
      <w:r>
        <w:rPr>
          <w:i/>
          <w:iCs/>
        </w:rPr>
        <w:t>mino</w:t>
      </w:r>
      <w:proofErr w:type="spellEnd"/>
      <w:r>
        <w:t xml:space="preserve"> and </w:t>
      </w:r>
      <w:proofErr w:type="spellStart"/>
      <w:r>
        <w:rPr>
          <w:i/>
          <w:iCs/>
        </w:rPr>
        <w:t>ta`am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ke-iqqar</w:t>
      </w:r>
      <w:proofErr w:type="spellEnd"/>
      <w:r>
        <w:t>?</w:t>
      </w:r>
    </w:p>
    <w:p w:rsidR="00F45716" w:rsidRPr="001B45C1" w:rsidRDefault="00F45716" w:rsidP="00F45716">
      <w:pPr>
        <w:bidi/>
        <w:rPr>
          <w:rtl/>
        </w:rPr>
      </w:pPr>
    </w:p>
    <w:p w:rsidR="003756AF" w:rsidRDefault="00A31445" w:rsidP="003756AF">
      <w:pPr>
        <w:bidi/>
        <w:rPr>
          <w:rtl/>
        </w:rPr>
      </w:pPr>
      <w:r>
        <w:rPr>
          <w:rFonts w:hint="cs"/>
          <w:rtl/>
        </w:rPr>
        <w:t>תוספות:</w:t>
      </w:r>
    </w:p>
    <w:p w:rsidR="003756AF" w:rsidRDefault="003756AF" w:rsidP="003756AF">
      <w:pPr>
        <w:bidi/>
        <w:rPr>
          <w:rtl/>
        </w:rPr>
      </w:pPr>
      <w:r>
        <w:rPr>
          <w:rFonts w:hint="cs"/>
          <w:rtl/>
        </w:rPr>
        <w:t xml:space="preserve">צח. </w:t>
      </w:r>
      <w:r w:rsidR="00823452">
        <w:rPr>
          <w:rFonts w:hint="cs"/>
          <w:rtl/>
        </w:rPr>
        <w:t>כל</w:t>
      </w:r>
    </w:p>
    <w:p w:rsidR="00823452" w:rsidRDefault="00823452" w:rsidP="00823452">
      <w:pPr>
        <w:bidi/>
        <w:rPr>
          <w:rtl/>
        </w:rPr>
      </w:pPr>
      <w:r>
        <w:rPr>
          <w:rFonts w:hint="cs"/>
          <w:rtl/>
        </w:rPr>
        <w:t>צח: ומאן</w:t>
      </w:r>
      <w:r w:rsidR="00197A06">
        <w:rPr>
          <w:rFonts w:hint="cs"/>
          <w:rtl/>
        </w:rPr>
        <w:t>, [לאו],</w:t>
      </w:r>
      <w:r w:rsidR="001B45C1">
        <w:rPr>
          <w:rFonts w:hint="cs"/>
          <w:rtl/>
        </w:rPr>
        <w:t xml:space="preserve"> רבא אמר</w:t>
      </w:r>
    </w:p>
    <w:p w:rsidR="003756AF" w:rsidRDefault="001B45C1" w:rsidP="003756AF">
      <w:pPr>
        <w:bidi/>
        <w:rPr>
          <w:rtl/>
        </w:rPr>
      </w:pPr>
      <w:r>
        <w:rPr>
          <w:rFonts w:hint="cs"/>
          <w:rtl/>
        </w:rPr>
        <w:t>צט. לא נצרכה</w:t>
      </w:r>
      <w:bookmarkStart w:id="0" w:name="_GoBack"/>
      <w:bookmarkEnd w:id="0"/>
    </w:p>
    <w:sectPr w:rsidR="0037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0045"/>
    <w:multiLevelType w:val="hybridMultilevel"/>
    <w:tmpl w:val="EC123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5687"/>
    <w:multiLevelType w:val="hybridMultilevel"/>
    <w:tmpl w:val="E66444B6"/>
    <w:lvl w:ilvl="0" w:tplc="8932E73C">
      <w:start w:val="1"/>
      <w:numFmt w:val="decimal"/>
      <w:lvlText w:val="%1)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2E57"/>
    <w:multiLevelType w:val="hybridMultilevel"/>
    <w:tmpl w:val="DA048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C"/>
    <w:rsid w:val="00197A06"/>
    <w:rsid w:val="001B45C1"/>
    <w:rsid w:val="003756AF"/>
    <w:rsid w:val="00422A84"/>
    <w:rsid w:val="00692ABE"/>
    <w:rsid w:val="00783B6C"/>
    <w:rsid w:val="00823452"/>
    <w:rsid w:val="00855022"/>
    <w:rsid w:val="009875A9"/>
    <w:rsid w:val="009D469F"/>
    <w:rsid w:val="009F1C02"/>
    <w:rsid w:val="00A31445"/>
    <w:rsid w:val="00A40968"/>
    <w:rsid w:val="00BD0384"/>
    <w:rsid w:val="00E53849"/>
    <w:rsid w:val="00F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01E1"/>
  <w15:chartTrackingRefBased/>
  <w15:docId w15:val="{67598502-D582-4856-8E23-822BB5C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kjwieder</dc:creator>
  <cp:keywords/>
  <dc:description/>
  <cp:lastModifiedBy>kjwieder</cp:lastModifiedBy>
  <cp:revision>6</cp:revision>
  <dcterms:created xsi:type="dcterms:W3CDTF">2019-09-04T00:55:00Z</dcterms:created>
  <dcterms:modified xsi:type="dcterms:W3CDTF">2019-09-05T13:19:00Z</dcterms:modified>
</cp:coreProperties>
</file>