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1439" w14:textId="529AF870" w:rsidR="00746C02" w:rsidRPr="00037654" w:rsidRDefault="00D036C2" w:rsidP="00746C02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597B70">
        <w:rPr>
          <w:rFonts w:hint="cs"/>
          <w:u w:val="single"/>
          <w:rtl/>
        </w:rPr>
        <w:t>גיטין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DC49EA">
        <w:rPr>
          <w:u w:val="single"/>
        </w:rPr>
        <w:t>49</w:t>
      </w:r>
    </w:p>
    <w:p w14:paraId="38E627E5" w14:textId="77777777" w:rsidR="00DC49EA" w:rsidRDefault="00DC49EA" w:rsidP="00DC49EA">
      <w:pPr>
        <w:spacing w:after="120"/>
        <w:jc w:val="both"/>
      </w:pPr>
    </w:p>
    <w:p w14:paraId="2C1F563C" w14:textId="77777777" w:rsidR="001E7E7D" w:rsidRDefault="00C41E50" w:rsidP="00DC49EA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FF54FA">
        <w:t>1</w:t>
      </w:r>
      <w:r>
        <w:rPr>
          <w:rFonts w:hint="cs"/>
          <w:rtl/>
        </w:rPr>
        <w:t xml:space="preserve">) </w:t>
      </w:r>
      <w:r w:rsidR="004B1250">
        <w:rPr>
          <w:rFonts w:hint="cs"/>
          <w:rtl/>
        </w:rPr>
        <w:t xml:space="preserve">גמרא </w:t>
      </w:r>
      <w:r w:rsidR="000013E5">
        <w:rPr>
          <w:rFonts w:hint="cs"/>
          <w:rtl/>
        </w:rPr>
        <w:t xml:space="preserve">כ: - </w:t>
      </w:r>
      <w:proofErr w:type="spellStart"/>
      <w:r w:rsidR="000013E5">
        <w:rPr>
          <w:rFonts w:hint="cs"/>
          <w:rtl/>
        </w:rPr>
        <w:t>כא</w:t>
      </w:r>
      <w:proofErr w:type="spellEnd"/>
      <w:r w:rsidR="000013E5">
        <w:rPr>
          <w:rFonts w:hint="cs"/>
          <w:rtl/>
        </w:rPr>
        <w:t xml:space="preserve">. </w:t>
      </w:r>
      <w:r w:rsidR="004B1250">
        <w:rPr>
          <w:rFonts w:hint="cs"/>
          <w:rtl/>
        </w:rPr>
        <w:t>"</w:t>
      </w:r>
      <w:r w:rsidR="004B1250">
        <w:rPr>
          <w:rtl/>
        </w:rPr>
        <w:t xml:space="preserve">בעי רמי בר </w:t>
      </w:r>
      <w:proofErr w:type="spellStart"/>
      <w:r w:rsidR="004B1250">
        <w:rPr>
          <w:rtl/>
        </w:rPr>
        <w:t>חמא</w:t>
      </w:r>
      <w:proofErr w:type="spellEnd"/>
      <w:r w:rsidR="004B1250">
        <w:rPr>
          <w:rtl/>
        </w:rPr>
        <w:t xml:space="preserve"> היו מוחזקים </w:t>
      </w:r>
      <w:proofErr w:type="spellStart"/>
      <w:r w:rsidR="000013E5">
        <w:rPr>
          <w:rFonts w:hint="cs"/>
          <w:rtl/>
        </w:rPr>
        <w:t>בטבלא</w:t>
      </w:r>
      <w:proofErr w:type="spellEnd"/>
      <w:r w:rsidR="004B1250">
        <w:rPr>
          <w:rFonts w:hint="cs"/>
          <w:rtl/>
        </w:rPr>
        <w:t xml:space="preserve"> ... </w:t>
      </w:r>
      <w:r w:rsidR="000013E5">
        <w:rPr>
          <w:rFonts w:hint="cs"/>
          <w:rtl/>
        </w:rPr>
        <w:t>שאין קיום הגט אלא בחותמיו</w:t>
      </w:r>
      <w:r w:rsidR="004B1250">
        <w:rPr>
          <w:rFonts w:hint="cs"/>
          <w:rtl/>
        </w:rPr>
        <w:t>", רש"י, תוס'</w:t>
      </w:r>
    </w:p>
    <w:p w14:paraId="6B4C465B" w14:textId="6829F16A" w:rsidR="00536FBD" w:rsidRDefault="001B0022" w:rsidP="00DC49E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רשב"א ד"ה הא דבעי רמי בר </w:t>
      </w:r>
      <w:proofErr w:type="spellStart"/>
      <w:r>
        <w:rPr>
          <w:rFonts w:hint="cs"/>
          <w:rtl/>
        </w:rPr>
        <w:t>חמא</w:t>
      </w:r>
      <w:proofErr w:type="spellEnd"/>
      <w:r>
        <w:rPr>
          <w:rFonts w:hint="cs"/>
          <w:rtl/>
        </w:rPr>
        <w:t xml:space="preserve">, [מאירי ד"ה </w:t>
      </w:r>
      <w:r>
        <w:rPr>
          <w:rtl/>
        </w:rPr>
        <w:t xml:space="preserve">היו מוחזקים </w:t>
      </w:r>
      <w:proofErr w:type="spellStart"/>
      <w:r>
        <w:rPr>
          <w:rFonts w:hint="cs"/>
          <w:rtl/>
        </w:rPr>
        <w:t>בטבלא</w:t>
      </w:r>
      <w:proofErr w:type="spellEnd"/>
      <w:r>
        <w:rPr>
          <w:rtl/>
        </w:rPr>
        <w:t xml:space="preserve"> שה</w:t>
      </w:r>
      <w:r>
        <w:rPr>
          <w:rFonts w:hint="cs"/>
          <w:rtl/>
        </w:rPr>
        <w:t>י</w:t>
      </w:r>
      <w:r>
        <w:rPr>
          <w:rtl/>
        </w:rPr>
        <w:t>א</w:t>
      </w:r>
      <w:r>
        <w:rPr>
          <w:rFonts w:hint="cs"/>
          <w:rtl/>
        </w:rPr>
        <w:t xml:space="preserve"> שלה]</w:t>
      </w:r>
    </w:p>
    <w:p w14:paraId="1DC705F9" w14:textId="6DA05688" w:rsidR="0070653A" w:rsidRDefault="00571D76" w:rsidP="001E7E7D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בענין דין "ספר המקנה"</w:t>
      </w:r>
      <w:r w:rsidR="001E7E7D">
        <w:rPr>
          <w:rFonts w:hint="cs"/>
          <w:rtl/>
        </w:rPr>
        <w:t xml:space="preserve"> - </w:t>
      </w:r>
      <w:r>
        <w:rPr>
          <w:rFonts w:hint="cs"/>
          <w:rtl/>
        </w:rPr>
        <w:t xml:space="preserve">קצות החושן </w:t>
      </w:r>
      <w:proofErr w:type="spellStart"/>
      <w:r>
        <w:rPr>
          <w:rFonts w:hint="cs"/>
          <w:rtl/>
        </w:rPr>
        <w:t>סו:כז</w:t>
      </w:r>
      <w:proofErr w:type="spellEnd"/>
      <w:r>
        <w:rPr>
          <w:rFonts w:hint="cs"/>
          <w:rtl/>
        </w:rPr>
        <w:t xml:space="preserve"> "</w:t>
      </w:r>
      <w:r w:rsidR="008B7B8B">
        <w:rPr>
          <w:rFonts w:hint="cs"/>
          <w:rtl/>
        </w:rPr>
        <w:t xml:space="preserve">אמנם הדרך ששיירתי לעצמי ... של </w:t>
      </w:r>
      <w:proofErr w:type="spellStart"/>
      <w:r w:rsidR="008B7B8B">
        <w:rPr>
          <w:rFonts w:hint="cs"/>
          <w:rtl/>
        </w:rPr>
        <w:t>המלוה</w:t>
      </w:r>
      <w:proofErr w:type="spellEnd"/>
      <w:r w:rsidR="008B7B8B">
        <w:rPr>
          <w:rFonts w:hint="cs"/>
          <w:rtl/>
        </w:rPr>
        <w:t xml:space="preserve"> </w:t>
      </w:r>
      <w:proofErr w:type="spellStart"/>
      <w:r w:rsidR="008B7B8B">
        <w:rPr>
          <w:rFonts w:hint="cs"/>
          <w:rtl/>
        </w:rPr>
        <w:t>בהקנאה</w:t>
      </w:r>
      <w:proofErr w:type="spellEnd"/>
      <w:r w:rsidR="008B7B8B">
        <w:rPr>
          <w:rFonts w:hint="cs"/>
          <w:rtl/>
        </w:rPr>
        <w:t xml:space="preserve"> מן </w:t>
      </w:r>
      <w:proofErr w:type="spellStart"/>
      <w:r w:rsidR="008B7B8B">
        <w:rPr>
          <w:rFonts w:hint="cs"/>
          <w:rtl/>
        </w:rPr>
        <w:t>הלוה</w:t>
      </w:r>
      <w:proofErr w:type="spellEnd"/>
      <w:r w:rsidR="008B7B8B">
        <w:rPr>
          <w:rFonts w:hint="cs"/>
          <w:rtl/>
        </w:rPr>
        <w:t>"</w:t>
      </w:r>
      <w:r w:rsidR="00C5394F">
        <w:rPr>
          <w:rFonts w:hint="cs"/>
          <w:rtl/>
        </w:rPr>
        <w:t xml:space="preserve">, </w:t>
      </w:r>
      <w:proofErr w:type="spellStart"/>
      <w:r w:rsidR="00C5394F">
        <w:rPr>
          <w:rFonts w:hint="cs"/>
          <w:rtl/>
        </w:rPr>
        <w:t>גליונות</w:t>
      </w:r>
      <w:proofErr w:type="spellEnd"/>
      <w:r w:rsidR="00C5394F">
        <w:rPr>
          <w:rFonts w:hint="cs"/>
          <w:rtl/>
        </w:rPr>
        <w:t xml:space="preserve"> ברוך טעם שם "גם דברי המחבר צ"ע ... לא הקנה לה ניר" </w:t>
      </w:r>
    </w:p>
    <w:p w14:paraId="71CD4C14" w14:textId="77777777" w:rsidR="00571D76" w:rsidRDefault="00571D76" w:rsidP="00DC49EA">
      <w:pPr>
        <w:spacing w:after="120"/>
        <w:jc w:val="both"/>
        <w:rPr>
          <w:rtl/>
        </w:rPr>
      </w:pPr>
    </w:p>
    <w:p w14:paraId="4E69DA5B" w14:textId="264577AA" w:rsidR="00E25382" w:rsidRDefault="0070653A" w:rsidP="00DC49EA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D64A03">
        <w:rPr>
          <w:rFonts w:hint="cs"/>
          <w:rtl/>
        </w:rPr>
        <w:t xml:space="preserve">בענין תוד"ה </w:t>
      </w:r>
      <w:r w:rsidR="00E57153">
        <w:rPr>
          <w:rFonts w:hint="cs"/>
          <w:rtl/>
        </w:rPr>
        <w:t>וכותב</w:t>
      </w:r>
      <w:r w:rsidR="00E25382">
        <w:rPr>
          <w:rFonts w:hint="cs"/>
          <w:rtl/>
        </w:rPr>
        <w:t>:</w:t>
      </w:r>
    </w:p>
    <w:p w14:paraId="4653BC4C" w14:textId="4155676E" w:rsidR="001B0022" w:rsidRDefault="00E57153" w:rsidP="00DC49EA">
      <w:pPr>
        <w:spacing w:after="120"/>
        <w:jc w:val="both"/>
        <w:rPr>
          <w:rFonts w:hint="cs"/>
        </w:rPr>
      </w:pPr>
      <w:r>
        <w:rPr>
          <w:rFonts w:hint="cs"/>
          <w:rtl/>
        </w:rPr>
        <w:t xml:space="preserve">רמב"ן ד"ה הא </w:t>
      </w:r>
      <w:proofErr w:type="spellStart"/>
      <w:r>
        <w:rPr>
          <w:rFonts w:hint="cs"/>
          <w:rtl/>
        </w:rPr>
        <w:t>דדייק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>, תוס' רי"ד, רש"י ד"ה והאיש כותב את שוברו</w:t>
      </w:r>
    </w:p>
    <w:p w14:paraId="2D16FF8E" w14:textId="7555F0A4" w:rsidR="004B1250" w:rsidRDefault="00E25382" w:rsidP="00E25382">
      <w:pPr>
        <w:spacing w:after="120"/>
        <w:jc w:val="both"/>
        <w:rPr>
          <w:rtl/>
        </w:rPr>
      </w:pPr>
      <w:r>
        <w:rPr>
          <w:rFonts w:hint="cs"/>
          <w:rtl/>
        </w:rPr>
        <w:t>[אבן האזל הל' עדות ג:ד "ו</w:t>
      </w:r>
      <w:r>
        <w:rPr>
          <w:rtl/>
        </w:rPr>
        <w:t xml:space="preserve">עיקר החילוק בין שטר </w:t>
      </w:r>
      <w:proofErr w:type="spellStart"/>
      <w:r>
        <w:rPr>
          <w:rtl/>
        </w:rPr>
        <w:t>דכשר</w:t>
      </w:r>
      <w:proofErr w:type="spellEnd"/>
      <w:r>
        <w:rPr>
          <w:rFonts w:hint="cs"/>
          <w:rtl/>
        </w:rPr>
        <w:t xml:space="preserve"> ... </w:t>
      </w:r>
      <w:proofErr w:type="spellStart"/>
      <w:r>
        <w:rPr>
          <w:rtl/>
        </w:rPr>
        <w:t>דשטר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דמהני</w:t>
      </w:r>
      <w:proofErr w:type="spellEnd"/>
      <w:r>
        <w:rPr>
          <w:rtl/>
        </w:rPr>
        <w:t xml:space="preserve"> לראיה מהני ג"כ להתחייב</w:t>
      </w:r>
      <w:r>
        <w:rPr>
          <w:rFonts w:hint="cs"/>
          <w:rtl/>
        </w:rPr>
        <w:t>"]</w:t>
      </w:r>
    </w:p>
    <w:p w14:paraId="41B40FB6" w14:textId="443BE7D0" w:rsidR="0070653A" w:rsidRDefault="00E25382" w:rsidP="00DE3BA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[קובץ שעורים ב"ב אות </w:t>
      </w:r>
      <w:proofErr w:type="spellStart"/>
      <w:r>
        <w:rPr>
          <w:rFonts w:hint="cs"/>
          <w:rtl/>
        </w:rPr>
        <w:t>תרכח</w:t>
      </w:r>
      <w:proofErr w:type="spellEnd"/>
      <w:r>
        <w:rPr>
          <w:rFonts w:hint="cs"/>
          <w:rtl/>
        </w:rPr>
        <w:t xml:space="preserve">, קצות החושן </w:t>
      </w:r>
      <w:proofErr w:type="spellStart"/>
      <w:r>
        <w:rPr>
          <w:rFonts w:hint="cs"/>
          <w:rtl/>
        </w:rPr>
        <w:t>סו:כ</w:t>
      </w:r>
      <w:proofErr w:type="spellEnd"/>
      <w:r w:rsidR="00DE3BAC">
        <w:rPr>
          <w:rFonts w:hint="cs"/>
          <w:rtl/>
        </w:rPr>
        <w:t xml:space="preserve">; </w:t>
      </w:r>
      <w:r w:rsidR="0070653A">
        <w:rPr>
          <w:rFonts w:hint="cs"/>
          <w:rtl/>
        </w:rPr>
        <w:t>וע"ע שיעורי הרב דף ג: אות ג, וכבר עסקנו בזה בשיעור 10]</w:t>
      </w:r>
    </w:p>
    <w:p w14:paraId="7CE6B6C5" w14:textId="3B24871C" w:rsidR="0070653A" w:rsidRDefault="0070653A" w:rsidP="00E25382">
      <w:pPr>
        <w:spacing w:after="120"/>
        <w:jc w:val="both"/>
        <w:rPr>
          <w:rtl/>
        </w:rPr>
      </w:pPr>
    </w:p>
    <w:p w14:paraId="035FFFA3" w14:textId="02DD6516" w:rsidR="001E7E7D" w:rsidRDefault="001E7E7D" w:rsidP="00E2538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(3) גמרא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. "</w:t>
      </w:r>
      <w:r w:rsidR="00470502">
        <w:rPr>
          <w:rFonts w:hint="cs"/>
          <w:rtl/>
        </w:rPr>
        <w:t>אמר רבא כתב לה גט ונתנו ביד עבדו ... והלכתא בכפות", רש"י, תוס'</w:t>
      </w:r>
    </w:p>
    <w:p w14:paraId="027BBAF6" w14:textId="0357E1E2" w:rsidR="00470502" w:rsidRDefault="007D6637" w:rsidP="00E2538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תוד"ה </w:t>
      </w:r>
      <w:proofErr w:type="spellStart"/>
      <w:r>
        <w:rPr>
          <w:rFonts w:hint="cs"/>
          <w:rtl/>
        </w:rPr>
        <w:t>והילכתא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רמב"ם גירושין ה:יז, [מ"מ </w:t>
      </w:r>
      <w:proofErr w:type="spellStart"/>
      <w:r>
        <w:rPr>
          <w:rFonts w:hint="cs"/>
          <w:rtl/>
        </w:rPr>
        <w:t>וכ"מ</w:t>
      </w:r>
      <w:proofErr w:type="spellEnd"/>
      <w:r>
        <w:rPr>
          <w:rFonts w:hint="cs"/>
          <w:rtl/>
        </w:rPr>
        <w:t xml:space="preserve"> שם, רמב"ן </w:t>
      </w:r>
      <w:proofErr w:type="spellStart"/>
      <w:r>
        <w:rPr>
          <w:rFonts w:hint="cs"/>
          <w:rtl/>
        </w:rPr>
        <w:t>עח</w:t>
      </w:r>
      <w:proofErr w:type="spellEnd"/>
      <w:r>
        <w:rPr>
          <w:rFonts w:hint="cs"/>
          <w:rtl/>
        </w:rPr>
        <w:t>. ד"ה והלכתא בכפות]</w:t>
      </w:r>
    </w:p>
    <w:p w14:paraId="5D814B81" w14:textId="6ABB3AE5" w:rsidR="00DE3BAC" w:rsidRDefault="00DE3BAC" w:rsidP="00E2538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גירושין ה:יח, רשב"א כאן ד"ה אמר רבא.  מה יסוד המחלוקת בין רמב"ם </w:t>
      </w:r>
      <w:proofErr w:type="spellStart"/>
      <w:r>
        <w:rPr>
          <w:rFonts w:hint="cs"/>
          <w:rtl/>
        </w:rPr>
        <w:t>לרשב"א</w:t>
      </w:r>
      <w:proofErr w:type="spellEnd"/>
      <w:r>
        <w:rPr>
          <w:rFonts w:hint="cs"/>
          <w:rtl/>
        </w:rPr>
        <w:t>?</w:t>
      </w:r>
    </w:p>
    <w:p w14:paraId="38BC6C46" w14:textId="2BCF4772" w:rsidR="00DC49EA" w:rsidRDefault="00DC49EA" w:rsidP="004B1250">
      <w:pPr>
        <w:spacing w:after="120"/>
        <w:jc w:val="both"/>
        <w:rPr>
          <w:rtl/>
        </w:rPr>
      </w:pPr>
    </w:p>
    <w:p w14:paraId="49F4BB9A" w14:textId="4CCDDEF5" w:rsidR="00DE3BAC" w:rsidRDefault="00DE3BAC" w:rsidP="004B1250">
      <w:pPr>
        <w:spacing w:after="120"/>
        <w:jc w:val="both"/>
        <w:rPr>
          <w:rtl/>
        </w:rPr>
      </w:pPr>
    </w:p>
    <w:p w14:paraId="10EF38F2" w14:textId="44684A85" w:rsidR="00DE3BAC" w:rsidRDefault="00DE3BAC" w:rsidP="004B1250">
      <w:pPr>
        <w:spacing w:after="120"/>
        <w:jc w:val="both"/>
        <w:rPr>
          <w:rtl/>
        </w:rPr>
      </w:pPr>
    </w:p>
    <w:p w14:paraId="6FFFA967" w14:textId="77777777" w:rsidR="00DE3BAC" w:rsidRDefault="00DE3BAC" w:rsidP="004B1250">
      <w:pPr>
        <w:spacing w:after="120"/>
        <w:jc w:val="both"/>
        <w:rPr>
          <w:rtl/>
        </w:rPr>
      </w:pPr>
    </w:p>
    <w:p w14:paraId="14EB8096" w14:textId="77777777" w:rsidR="009448EF" w:rsidRPr="009448EF" w:rsidRDefault="009448EF">
      <w:pPr>
        <w:bidi w:val="0"/>
        <w:rPr>
          <w:rtl/>
        </w:rPr>
      </w:pPr>
      <w:r w:rsidRPr="009448EF">
        <w:rPr>
          <w:rtl/>
        </w:rPr>
        <w:br w:type="page"/>
      </w:r>
    </w:p>
    <w:p w14:paraId="2091485F" w14:textId="301AF310" w:rsidR="008B7B8B" w:rsidRPr="008B7B8B" w:rsidRDefault="008B7B8B" w:rsidP="008B7B8B">
      <w:pPr>
        <w:jc w:val="both"/>
        <w:rPr>
          <w:u w:val="single"/>
          <w:rtl/>
        </w:rPr>
      </w:pPr>
      <w:r w:rsidRPr="008B7B8B">
        <w:rPr>
          <w:u w:val="single"/>
          <w:rtl/>
        </w:rPr>
        <w:lastRenderedPageBreak/>
        <w:t xml:space="preserve">קצות החושן סימן </w:t>
      </w:r>
      <w:proofErr w:type="spellStart"/>
      <w:r w:rsidRPr="008B7B8B">
        <w:rPr>
          <w:u w:val="single"/>
          <w:rtl/>
        </w:rPr>
        <w:t>סו</w:t>
      </w:r>
      <w:proofErr w:type="spellEnd"/>
      <w:r w:rsidRPr="008B7B8B">
        <w:rPr>
          <w:u w:val="single"/>
          <w:rtl/>
        </w:rPr>
        <w:t xml:space="preserve"> ס"ק </w:t>
      </w:r>
      <w:proofErr w:type="spellStart"/>
      <w:r w:rsidRPr="008B7B8B">
        <w:rPr>
          <w:u w:val="single"/>
          <w:rtl/>
        </w:rPr>
        <w:t>כז</w:t>
      </w:r>
      <w:proofErr w:type="spellEnd"/>
    </w:p>
    <w:p w14:paraId="7AEC8A36" w14:textId="005AFC90" w:rsidR="00F5268C" w:rsidRDefault="008B7B8B" w:rsidP="008B7B8B">
      <w:pPr>
        <w:jc w:val="both"/>
        <w:rPr>
          <w:rtl/>
        </w:rPr>
      </w:pPr>
      <w:r>
        <w:rPr>
          <w:rFonts w:hint="cs"/>
          <w:rtl/>
        </w:rPr>
        <w:t xml:space="preserve">... </w:t>
      </w:r>
      <w:r>
        <w:rPr>
          <w:rtl/>
        </w:rPr>
        <w:t xml:space="preserve">אמנם הדרך ששיירתי לעצמי אחר העיון היטב הוא זה, כי עיקר ראיית חכמי </w:t>
      </w:r>
      <w:proofErr w:type="spellStart"/>
      <w:r>
        <w:rPr>
          <w:rtl/>
        </w:rPr>
        <w:t>פרובינצייא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דהנייר</w:t>
      </w:r>
      <w:proofErr w:type="spellEnd"/>
      <w:r>
        <w:rPr>
          <w:rtl/>
        </w:rPr>
        <w:t xml:space="preserve"> של </w:t>
      </w:r>
      <w:proofErr w:type="spellStart"/>
      <w:r>
        <w:rPr>
          <w:rtl/>
        </w:rPr>
        <w:t>לוה</w:t>
      </w:r>
      <w:proofErr w:type="spellEnd"/>
      <w:r>
        <w:rPr>
          <w:rtl/>
        </w:rPr>
        <w:t xml:space="preserve"> הוא </w:t>
      </w:r>
      <w:proofErr w:type="spellStart"/>
      <w:r>
        <w:rPr>
          <w:rtl/>
        </w:rPr>
        <w:t>מדנותן</w:t>
      </w:r>
      <w:proofErr w:type="spellEnd"/>
      <w:r>
        <w:rPr>
          <w:rtl/>
        </w:rPr>
        <w:t xml:space="preserve"> שכר הסופר וכמ"ש </w:t>
      </w:r>
      <w:proofErr w:type="spellStart"/>
      <w:r>
        <w:rPr>
          <w:rtl/>
        </w:rPr>
        <w:t>ברא"ש</w:t>
      </w:r>
      <w:proofErr w:type="spellEnd"/>
      <w:r>
        <w:rPr>
          <w:rtl/>
        </w:rPr>
        <w:t xml:space="preserve"> פרק הכותב (כתובות פ"ט סי' י') </w:t>
      </w:r>
      <w:proofErr w:type="spellStart"/>
      <w:r>
        <w:rPr>
          <w:rtl/>
        </w:rPr>
        <w:t>והר"ן</w:t>
      </w:r>
      <w:proofErr w:type="spellEnd"/>
      <w:r>
        <w:rPr>
          <w:rtl/>
        </w:rPr>
        <w:t xml:space="preserve"> בפרק האיש מקדש (קידושין כ, א בדפי הרי"ף) ע"ש, וזה הוא עיקר יסודם לדבריהם </w:t>
      </w:r>
      <w:proofErr w:type="spellStart"/>
      <w:r>
        <w:rPr>
          <w:rtl/>
        </w:rPr>
        <w:t>דנייר</w:t>
      </w:r>
      <w:proofErr w:type="spellEnd"/>
      <w:r>
        <w:rPr>
          <w:rtl/>
        </w:rPr>
        <w:t xml:space="preserve"> של </w:t>
      </w:r>
      <w:proofErr w:type="spellStart"/>
      <w:r>
        <w:rPr>
          <w:rtl/>
        </w:rPr>
        <w:t>לוה</w:t>
      </w:r>
      <w:proofErr w:type="spellEnd"/>
      <w:r>
        <w:rPr>
          <w:rtl/>
        </w:rPr>
        <w:t xml:space="preserve"> הוא. ולענ"ד נראה ודאי </w:t>
      </w:r>
      <w:proofErr w:type="spellStart"/>
      <w:r>
        <w:rPr>
          <w:rtl/>
        </w:rPr>
        <w:t>הלוה</w:t>
      </w:r>
      <w:proofErr w:type="spellEnd"/>
      <w:r>
        <w:rPr>
          <w:rtl/>
        </w:rPr>
        <w:t xml:space="preserve"> נותן שכר הסופר, אבל </w:t>
      </w:r>
      <w:proofErr w:type="spellStart"/>
      <w:r>
        <w:rPr>
          <w:rtl/>
        </w:rPr>
        <w:t>הלוה</w:t>
      </w:r>
      <w:proofErr w:type="spellEnd"/>
      <w:r>
        <w:rPr>
          <w:rtl/>
        </w:rPr>
        <w:t xml:space="preserve"> צריך להקנות השטר </w:t>
      </w:r>
      <w:proofErr w:type="spellStart"/>
      <w:r>
        <w:rPr>
          <w:rtl/>
        </w:rPr>
        <w:t>למלוה</w:t>
      </w:r>
      <w:proofErr w:type="spellEnd"/>
      <w:r>
        <w:rPr>
          <w:rtl/>
        </w:rPr>
        <w:t xml:space="preserve"> וכמבואר </w:t>
      </w:r>
      <w:proofErr w:type="spellStart"/>
      <w:r>
        <w:rPr>
          <w:rtl/>
        </w:rPr>
        <w:t>בפ"ב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דגיטין</w:t>
      </w:r>
      <w:proofErr w:type="spellEnd"/>
      <w:r>
        <w:rPr>
          <w:rtl/>
        </w:rPr>
        <w:t xml:space="preserve"> דף כ' (ע"ב) משום </w:t>
      </w:r>
      <w:proofErr w:type="spellStart"/>
      <w:r>
        <w:rPr>
          <w:rtl/>
        </w:rPr>
        <w:t>דבעינן</w:t>
      </w:r>
      <w:proofErr w:type="spellEnd"/>
      <w:r>
        <w:rPr>
          <w:rtl/>
        </w:rPr>
        <w:t xml:space="preserve"> ואקח את ספר המקנה (ירמיה לב, יא), ע"ש דבעי רמי בר </w:t>
      </w:r>
      <w:proofErr w:type="spellStart"/>
      <w:r>
        <w:rPr>
          <w:rtl/>
        </w:rPr>
        <w:t>חמא</w:t>
      </w:r>
      <w:proofErr w:type="spellEnd"/>
      <w:r>
        <w:rPr>
          <w:rtl/>
        </w:rPr>
        <w:t xml:space="preserve"> היו מוחזקים </w:t>
      </w:r>
      <w:proofErr w:type="spellStart"/>
      <w:r>
        <w:rPr>
          <w:rtl/>
        </w:rPr>
        <w:t>בטבלא</w:t>
      </w:r>
      <w:proofErr w:type="spellEnd"/>
      <w:r>
        <w:rPr>
          <w:rtl/>
        </w:rPr>
        <w:t xml:space="preserve"> שהיא שלה וגט כתוב עליו והרי הוא יוצא מתחת ידה מי אמרינן </w:t>
      </w:r>
      <w:proofErr w:type="spellStart"/>
      <w:r>
        <w:rPr>
          <w:rtl/>
        </w:rPr>
        <w:t>אקנויי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אקניתא</w:t>
      </w:r>
      <w:proofErr w:type="spellEnd"/>
      <w:r>
        <w:rPr>
          <w:rtl/>
        </w:rPr>
        <w:t xml:space="preserve"> ליה או </w:t>
      </w:r>
      <w:proofErr w:type="spellStart"/>
      <w:r>
        <w:rPr>
          <w:rtl/>
        </w:rPr>
        <w:t>דלמא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לא ידעה </w:t>
      </w:r>
      <w:proofErr w:type="spellStart"/>
      <w:r>
        <w:rPr>
          <w:rtl/>
        </w:rPr>
        <w:t>לאקנויי</w:t>
      </w:r>
      <w:proofErr w:type="spellEnd"/>
      <w:r>
        <w:rPr>
          <w:rtl/>
        </w:rPr>
        <w:t xml:space="preserve">, אמר 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תא שמע אף הוא העיד [על] כפר קטן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הא בעינן ספר המקנה </w:t>
      </w:r>
      <w:proofErr w:type="spellStart"/>
      <w:r>
        <w:rPr>
          <w:rtl/>
        </w:rPr>
        <w:t>וליכא</w:t>
      </w:r>
      <w:proofErr w:type="spellEnd"/>
      <w:r>
        <w:rPr>
          <w:rtl/>
        </w:rPr>
        <w:t xml:space="preserve"> אלא משום דאמרינן </w:t>
      </w:r>
      <w:proofErr w:type="spellStart"/>
      <w:r>
        <w:rPr>
          <w:rtl/>
        </w:rPr>
        <w:t>אקנויי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אקני</w:t>
      </w:r>
      <w:proofErr w:type="spellEnd"/>
      <w:r>
        <w:rPr>
          <w:rtl/>
        </w:rPr>
        <w:t xml:space="preserve"> ליה ע"ש, ובעינן נמי </w:t>
      </w:r>
      <w:proofErr w:type="spellStart"/>
      <w:r>
        <w:rPr>
          <w:rtl/>
        </w:rPr>
        <w:t>שהאשה</w:t>
      </w:r>
      <w:proofErr w:type="spellEnd"/>
      <w:r>
        <w:rPr>
          <w:rtl/>
        </w:rPr>
        <w:t xml:space="preserve"> תזכה בנייר ואם אמר הרי זה גיטך והנייר שלי אינה מגורשת (גיטין שם). ועיין תוס' פ"ק </w:t>
      </w:r>
      <w:proofErr w:type="spellStart"/>
      <w:r>
        <w:rPr>
          <w:rtl/>
        </w:rPr>
        <w:t>דקידושין</w:t>
      </w:r>
      <w:proofErr w:type="spellEnd"/>
      <w:r>
        <w:rPr>
          <w:rtl/>
        </w:rPr>
        <w:t xml:space="preserve"> דף ט' (ע"א) ד"ה אף על פי שאין בו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פרוטה ז"ל, דהוה </w:t>
      </w:r>
      <w:proofErr w:type="spellStart"/>
      <w:r>
        <w:rPr>
          <w:rtl/>
        </w:rPr>
        <w:t>אמינא</w:t>
      </w:r>
      <w:proofErr w:type="spellEnd"/>
      <w:r>
        <w:rPr>
          <w:rtl/>
        </w:rPr>
        <w:t xml:space="preserve"> כיון </w:t>
      </w:r>
      <w:proofErr w:type="spellStart"/>
      <w:r>
        <w:rPr>
          <w:rtl/>
        </w:rPr>
        <w:t>דכתיב</w:t>
      </w:r>
      <w:proofErr w:type="spellEnd"/>
      <w:r>
        <w:rPr>
          <w:rtl/>
        </w:rPr>
        <w:t xml:space="preserve"> ביה נתינה ואקח את ספר המקנה (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) [ס"ד] דבעי </w:t>
      </w:r>
      <w:proofErr w:type="spellStart"/>
      <w:r>
        <w:rPr>
          <w:rtl/>
        </w:rPr>
        <w:t>שוה</w:t>
      </w:r>
      <w:proofErr w:type="spellEnd"/>
      <w:r>
        <w:rPr>
          <w:rtl/>
        </w:rPr>
        <w:t xml:space="preserve"> פרוטה ע"ש, ואף על גב </w:t>
      </w:r>
      <w:proofErr w:type="spellStart"/>
      <w:r>
        <w:rPr>
          <w:rtl/>
        </w:rPr>
        <w:t>דשוה</w:t>
      </w:r>
      <w:proofErr w:type="spellEnd"/>
      <w:r>
        <w:rPr>
          <w:rtl/>
        </w:rPr>
        <w:t xml:space="preserve"> פרוטה לא בעי היינו משום דלא גרע מאיסורי הנאה וכתבו על איסורי הנאה כשר (גיטין כ, א), וא"כ צריך להיות הנייר של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בהקנאה</w:t>
      </w:r>
      <w:proofErr w:type="spellEnd"/>
      <w:r>
        <w:rPr>
          <w:rtl/>
        </w:rPr>
        <w:t xml:space="preserve"> מן </w:t>
      </w:r>
      <w:proofErr w:type="spellStart"/>
      <w:r>
        <w:rPr>
          <w:rtl/>
        </w:rPr>
        <w:t>הלוה</w:t>
      </w:r>
      <w:proofErr w:type="spellEnd"/>
      <w:r>
        <w:rPr>
          <w:rtl/>
        </w:rPr>
        <w:t xml:space="preserve">. ואף על גב </w:t>
      </w:r>
      <w:proofErr w:type="spellStart"/>
      <w:r>
        <w:rPr>
          <w:rtl/>
        </w:rPr>
        <w:t>דשטרי</w:t>
      </w:r>
      <w:proofErr w:type="spellEnd"/>
      <w:r>
        <w:rPr>
          <w:rtl/>
        </w:rPr>
        <w:t xml:space="preserve"> ראיה א"צ להיות ספר המקנה ועיין תוס' שם בגיטין דף כ' (ע"ב ד"ה וכותב), כבר כתבנו </w:t>
      </w:r>
      <w:proofErr w:type="spellStart"/>
      <w:r>
        <w:rPr>
          <w:rtl/>
        </w:rPr>
        <w:t>דשטרי</w:t>
      </w:r>
      <w:proofErr w:type="spellEnd"/>
      <w:r>
        <w:rPr>
          <w:rtl/>
        </w:rPr>
        <w:t xml:space="preserve"> אין </w:t>
      </w:r>
      <w:proofErr w:type="spellStart"/>
      <w:r>
        <w:rPr>
          <w:rtl/>
        </w:rPr>
        <w:t>נקנין</w:t>
      </w:r>
      <w:proofErr w:type="spellEnd"/>
      <w:r>
        <w:rPr>
          <w:rtl/>
        </w:rPr>
        <w:t xml:space="preserve"> בכתיבה ומסירה אלא בשטרי הקנאה ולא בשטרי ראיה, ואפילו שטר חוב נמי שטר מקנה הוי וכמ"ש </w:t>
      </w:r>
      <w:proofErr w:type="spellStart"/>
      <w:r>
        <w:rPr>
          <w:rtl/>
        </w:rPr>
        <w:t>בס"ק</w:t>
      </w:r>
      <w:proofErr w:type="spellEnd"/>
      <w:r>
        <w:rPr>
          <w:rtl/>
        </w:rPr>
        <w:t xml:space="preserve"> כ' ע"ש, ואי לא הוי שטר מקנה ולא היה מועיל </w:t>
      </w:r>
      <w:proofErr w:type="spellStart"/>
      <w:r>
        <w:rPr>
          <w:rtl/>
        </w:rPr>
        <w:t>להקנאה</w:t>
      </w:r>
      <w:proofErr w:type="spellEnd"/>
      <w:r>
        <w:rPr>
          <w:rtl/>
        </w:rPr>
        <w:t xml:space="preserve"> בכתיבה ומסירה נמי לא נקנה וכמ"ש </w:t>
      </w:r>
      <w:proofErr w:type="spellStart"/>
      <w:r>
        <w:rPr>
          <w:rtl/>
        </w:rPr>
        <w:t>בס"ק</w:t>
      </w:r>
      <w:proofErr w:type="spellEnd"/>
      <w:r>
        <w:rPr>
          <w:rtl/>
        </w:rPr>
        <w:t xml:space="preserve"> כ'. והא </w:t>
      </w:r>
      <w:proofErr w:type="spellStart"/>
      <w:r>
        <w:rPr>
          <w:rtl/>
        </w:rPr>
        <w:t>דצריך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להחזיר השטר </w:t>
      </w:r>
      <w:proofErr w:type="spellStart"/>
      <w:r>
        <w:rPr>
          <w:rtl/>
        </w:rPr>
        <w:t>ללוה</w:t>
      </w:r>
      <w:proofErr w:type="spellEnd"/>
      <w:r>
        <w:rPr>
          <w:rtl/>
        </w:rPr>
        <w:t xml:space="preserve"> אחר </w:t>
      </w:r>
      <w:proofErr w:type="spellStart"/>
      <w:r>
        <w:rPr>
          <w:rtl/>
        </w:rPr>
        <w:t>הפרעון</w:t>
      </w:r>
      <w:proofErr w:type="spellEnd"/>
      <w:r>
        <w:rPr>
          <w:rtl/>
        </w:rPr>
        <w:t xml:space="preserve">, היינו משום דהוי כמו מתנה על מנת להחזיר אחר </w:t>
      </w:r>
      <w:proofErr w:type="spellStart"/>
      <w:r>
        <w:rPr>
          <w:rtl/>
        </w:rPr>
        <w:t>הפרעון</w:t>
      </w:r>
      <w:proofErr w:type="spellEnd"/>
      <w:r>
        <w:rPr>
          <w:rtl/>
        </w:rPr>
        <w:t xml:space="preserve">. וא"כ שפיר מצי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למכור וליתן את הנייר לאחר כיון דהוי </w:t>
      </w:r>
      <w:proofErr w:type="spellStart"/>
      <w:r>
        <w:rPr>
          <w:rtl/>
        </w:rPr>
        <w:t>דידיה</w:t>
      </w:r>
      <w:proofErr w:type="spellEnd"/>
      <w:r>
        <w:rPr>
          <w:rtl/>
        </w:rPr>
        <w:t xml:space="preserve"> עד </w:t>
      </w:r>
      <w:proofErr w:type="spellStart"/>
      <w:r>
        <w:rPr>
          <w:rtl/>
        </w:rPr>
        <w:t>הפרעון</w:t>
      </w:r>
      <w:proofErr w:type="spellEnd"/>
      <w:r>
        <w:rPr>
          <w:rtl/>
        </w:rPr>
        <w:t xml:space="preserve"> ומה מכר ראשון לשני כל זכות </w:t>
      </w:r>
      <w:proofErr w:type="spellStart"/>
      <w:r>
        <w:rPr>
          <w:rtl/>
        </w:rPr>
        <w:t>שתבא</w:t>
      </w:r>
      <w:proofErr w:type="spellEnd"/>
      <w:r>
        <w:rPr>
          <w:rtl/>
        </w:rPr>
        <w:t xml:space="preserve"> לידו (</w:t>
      </w:r>
      <w:proofErr w:type="spellStart"/>
      <w:r>
        <w:rPr>
          <w:rtl/>
        </w:rPr>
        <w:t>ב"מ</w:t>
      </w:r>
      <w:proofErr w:type="spellEnd"/>
      <w:r>
        <w:rPr>
          <w:rtl/>
        </w:rPr>
        <w:t xml:space="preserve"> טו, ב), ומצי הלוקח לעכב הנייר עד שיפרענו, דאית ליה זכות </w:t>
      </w:r>
      <w:proofErr w:type="spellStart"/>
      <w:r>
        <w:rPr>
          <w:rtl/>
        </w:rPr>
        <w:t>וכח</w:t>
      </w:r>
      <w:proofErr w:type="spellEnd"/>
      <w:r>
        <w:rPr>
          <w:rtl/>
        </w:rPr>
        <w:t xml:space="preserve"> של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(יש לו הוא) עד </w:t>
      </w:r>
      <w:proofErr w:type="spellStart"/>
      <w:r>
        <w:rPr>
          <w:rtl/>
        </w:rPr>
        <w:t>הפרעון</w:t>
      </w:r>
      <w:proofErr w:type="spellEnd"/>
      <w:r>
        <w:rPr>
          <w:rtl/>
        </w:rPr>
        <w:t xml:space="preserve">, ואינו בתורת משכון אלא שלו הוא לגמרי עד </w:t>
      </w:r>
      <w:proofErr w:type="spellStart"/>
      <w:r>
        <w:rPr>
          <w:rtl/>
        </w:rPr>
        <w:t>הפרעון</w:t>
      </w:r>
      <w:proofErr w:type="spellEnd"/>
      <w:r>
        <w:rPr>
          <w:rtl/>
        </w:rPr>
        <w:t xml:space="preserve">. ותו לא קשה משמיטה </w:t>
      </w:r>
      <w:proofErr w:type="spellStart"/>
      <w:r>
        <w:rPr>
          <w:rtl/>
        </w:rPr>
        <w:t>דמשמט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מלוה</w:t>
      </w:r>
      <w:proofErr w:type="spellEnd"/>
      <w:r>
        <w:rPr>
          <w:rtl/>
        </w:rPr>
        <w:t xml:space="preserve"> בשטר, </w:t>
      </w:r>
      <w:proofErr w:type="spellStart"/>
      <w:r>
        <w:rPr>
          <w:rtl/>
        </w:rPr>
        <w:t>דהנייר</w:t>
      </w:r>
      <w:proofErr w:type="spellEnd"/>
      <w:r>
        <w:rPr>
          <w:rtl/>
        </w:rPr>
        <w:t xml:space="preserve"> לא הוי משכון כלל אלא </w:t>
      </w:r>
      <w:proofErr w:type="spellStart"/>
      <w:r>
        <w:rPr>
          <w:rtl/>
        </w:rPr>
        <w:t>דידיה</w:t>
      </w:r>
      <w:proofErr w:type="spellEnd"/>
      <w:r>
        <w:rPr>
          <w:rtl/>
        </w:rPr>
        <w:t xml:space="preserve"> הוא לגמרי ולא שייך ביה נגד כולו הוא קונה. ונתיישב בזה כל הקושיות מה שכתבנו דהוי בשעת </w:t>
      </w:r>
      <w:proofErr w:type="spellStart"/>
      <w:r>
        <w:rPr>
          <w:rtl/>
        </w:rPr>
        <w:t>הלואה</w:t>
      </w:r>
      <w:proofErr w:type="spellEnd"/>
      <w:r>
        <w:rPr>
          <w:rtl/>
        </w:rPr>
        <w:t xml:space="preserve"> ועוד דלא בא לידו בתורת משכון אלא לראיה, כיון דלא </w:t>
      </w:r>
      <w:proofErr w:type="spellStart"/>
      <w:r>
        <w:rPr>
          <w:rtl/>
        </w:rPr>
        <w:t>אתינן</w:t>
      </w:r>
      <w:proofErr w:type="spellEnd"/>
      <w:r>
        <w:rPr>
          <w:rtl/>
        </w:rPr>
        <w:t xml:space="preserve"> עלה מתורת משכון כלל </w:t>
      </w:r>
      <w:proofErr w:type="spellStart"/>
      <w:r>
        <w:rPr>
          <w:rtl/>
        </w:rPr>
        <w:t>ודו"ק</w:t>
      </w:r>
      <w:proofErr w:type="spellEnd"/>
      <w:r>
        <w:rPr>
          <w:rtl/>
        </w:rPr>
        <w:t xml:space="preserve">. והא </w:t>
      </w:r>
      <w:proofErr w:type="spellStart"/>
      <w:r>
        <w:rPr>
          <w:rtl/>
        </w:rPr>
        <w:t>דסגי</w:t>
      </w:r>
      <w:proofErr w:type="spellEnd"/>
      <w:r>
        <w:rPr>
          <w:rtl/>
        </w:rPr>
        <w:t xml:space="preserve"> ליה בדמי הנייר ולא מצי לוקח מעכב כיון דשלו הוא לגמרי, אפשר </w:t>
      </w:r>
      <w:proofErr w:type="spellStart"/>
      <w:r>
        <w:rPr>
          <w:rtl/>
        </w:rPr>
        <w:t>דחששו</w:t>
      </w:r>
      <w:proofErr w:type="spellEnd"/>
      <w:r>
        <w:rPr>
          <w:rtl/>
        </w:rPr>
        <w:t xml:space="preserve"> חז"ל </w:t>
      </w:r>
      <w:proofErr w:type="spellStart"/>
      <w:r>
        <w:rPr>
          <w:rtl/>
        </w:rPr>
        <w:t>לפסידא</w:t>
      </w:r>
      <w:proofErr w:type="spellEnd"/>
      <w:r>
        <w:rPr>
          <w:rtl/>
        </w:rPr>
        <w:t xml:space="preserve"> דלוה שלא יצטרך לשמור שוברו </w:t>
      </w:r>
      <w:proofErr w:type="spellStart"/>
      <w:r>
        <w:rPr>
          <w:rtl/>
        </w:rPr>
        <w:t>וכופין</w:t>
      </w:r>
      <w:proofErr w:type="spellEnd"/>
      <w:r>
        <w:rPr>
          <w:rtl/>
        </w:rPr>
        <w:t xml:space="preserve"> אותו על מדת סדום, אבל גוף הנייר של לוקח הוי.</w:t>
      </w:r>
      <w:r>
        <w:rPr>
          <w:rFonts w:hint="cs"/>
          <w:rtl/>
        </w:rPr>
        <w:t>..</w:t>
      </w:r>
    </w:p>
    <w:p w14:paraId="3D97CCD2" w14:textId="03996A16" w:rsidR="00BA0072" w:rsidRDefault="00BA0072" w:rsidP="008B7B8B">
      <w:pPr>
        <w:jc w:val="both"/>
        <w:rPr>
          <w:rtl/>
        </w:rPr>
      </w:pPr>
    </w:p>
    <w:p w14:paraId="0E545458" w14:textId="35BEC7DF" w:rsidR="00C5394F" w:rsidRPr="00C5394F" w:rsidRDefault="00C5394F" w:rsidP="00C5394F">
      <w:pPr>
        <w:jc w:val="both"/>
        <w:rPr>
          <w:u w:val="single"/>
          <w:rtl/>
        </w:rPr>
      </w:pPr>
      <w:proofErr w:type="spellStart"/>
      <w:r w:rsidRPr="00C5394F">
        <w:rPr>
          <w:rFonts w:hint="cs"/>
          <w:u w:val="single"/>
          <w:rtl/>
        </w:rPr>
        <w:t>גליונות</w:t>
      </w:r>
      <w:proofErr w:type="spellEnd"/>
      <w:r w:rsidRPr="00C5394F">
        <w:rPr>
          <w:rFonts w:hint="cs"/>
          <w:u w:val="single"/>
          <w:rtl/>
        </w:rPr>
        <w:t xml:space="preserve"> ברוך טעם על ספר </w:t>
      </w:r>
      <w:r w:rsidRPr="00C5394F">
        <w:rPr>
          <w:u w:val="single"/>
          <w:rtl/>
        </w:rPr>
        <w:t xml:space="preserve">קצות החושן סימן </w:t>
      </w:r>
      <w:proofErr w:type="spellStart"/>
      <w:r w:rsidRPr="00C5394F">
        <w:rPr>
          <w:u w:val="single"/>
          <w:rtl/>
        </w:rPr>
        <w:t>סו</w:t>
      </w:r>
      <w:proofErr w:type="spellEnd"/>
    </w:p>
    <w:p w14:paraId="3A83CCA1" w14:textId="7943B5D7" w:rsidR="00C5394F" w:rsidRDefault="00C5394F" w:rsidP="00C5394F">
      <w:pPr>
        <w:jc w:val="both"/>
      </w:pPr>
      <w:r>
        <w:rPr>
          <w:noProof/>
        </w:rPr>
        <w:drawing>
          <wp:inline distT="0" distB="0" distL="0" distR="0" wp14:anchorId="3BE065D0" wp14:editId="2AAEB73A">
            <wp:extent cx="393382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3EAD9" w14:textId="08EC137E" w:rsidR="00C5394F" w:rsidRDefault="00C5394F" w:rsidP="00C5394F">
      <w:pPr>
        <w:jc w:val="both"/>
        <w:rPr>
          <w:rtl/>
        </w:rPr>
      </w:pPr>
      <w:r>
        <w:rPr>
          <w:noProof/>
        </w:rPr>
        <w:drawing>
          <wp:inline distT="0" distB="0" distL="0" distR="0" wp14:anchorId="568B1BCF" wp14:editId="31B6BDD9">
            <wp:extent cx="393382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48FCE" w14:textId="20FDB32C" w:rsidR="00DE3BAC" w:rsidRDefault="00DE3BAC" w:rsidP="00C5394F">
      <w:pPr>
        <w:jc w:val="both"/>
        <w:rPr>
          <w:rtl/>
        </w:rPr>
      </w:pPr>
    </w:p>
    <w:p w14:paraId="3FCF5096" w14:textId="0EA71242" w:rsidR="00DE3BAC" w:rsidRPr="00796D05" w:rsidRDefault="00DE3BAC" w:rsidP="00C5394F">
      <w:pPr>
        <w:jc w:val="both"/>
        <w:rPr>
          <w:rtl/>
        </w:rPr>
      </w:pPr>
    </w:p>
    <w:sectPr w:rsidR="00DE3BAC" w:rsidRPr="00796D05" w:rsidSect="00DC49EA"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F0B6" w14:textId="77777777" w:rsidR="007319B3" w:rsidRDefault="007319B3">
      <w:r>
        <w:separator/>
      </w:r>
    </w:p>
  </w:endnote>
  <w:endnote w:type="continuationSeparator" w:id="0">
    <w:p w14:paraId="0444ADB6" w14:textId="77777777" w:rsidR="007319B3" w:rsidRDefault="0073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65B8A" w14:textId="77777777" w:rsidR="007319B3" w:rsidRDefault="007319B3">
      <w:r>
        <w:separator/>
      </w:r>
    </w:p>
  </w:footnote>
  <w:footnote w:type="continuationSeparator" w:id="0">
    <w:p w14:paraId="2259CC9E" w14:textId="77777777" w:rsidR="007319B3" w:rsidRDefault="0073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E5E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6F0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61CD"/>
    <w:rsid w:val="000A6505"/>
    <w:rsid w:val="000A6EF2"/>
    <w:rsid w:val="000A7525"/>
    <w:rsid w:val="000B048D"/>
    <w:rsid w:val="000B0D2A"/>
    <w:rsid w:val="000B1919"/>
    <w:rsid w:val="000B1965"/>
    <w:rsid w:val="000B1D81"/>
    <w:rsid w:val="000B1F2F"/>
    <w:rsid w:val="000B20CE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111A"/>
    <w:rsid w:val="000C16F7"/>
    <w:rsid w:val="000C1F45"/>
    <w:rsid w:val="000C257E"/>
    <w:rsid w:val="000C26D4"/>
    <w:rsid w:val="000C2A08"/>
    <w:rsid w:val="000C3196"/>
    <w:rsid w:val="000C4913"/>
    <w:rsid w:val="000C4AA7"/>
    <w:rsid w:val="000C4D94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B57"/>
    <w:rsid w:val="000E1BA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652"/>
    <w:rsid w:val="000F47E9"/>
    <w:rsid w:val="000F49CA"/>
    <w:rsid w:val="000F4B07"/>
    <w:rsid w:val="000F5F42"/>
    <w:rsid w:val="000F6360"/>
    <w:rsid w:val="000F7DFE"/>
    <w:rsid w:val="00100362"/>
    <w:rsid w:val="00100878"/>
    <w:rsid w:val="00100D82"/>
    <w:rsid w:val="001023F2"/>
    <w:rsid w:val="0010261F"/>
    <w:rsid w:val="001026B1"/>
    <w:rsid w:val="00102BA6"/>
    <w:rsid w:val="00102DFA"/>
    <w:rsid w:val="00102EF4"/>
    <w:rsid w:val="00103515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07C3D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1BE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E5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ABF"/>
    <w:rsid w:val="00153D52"/>
    <w:rsid w:val="00154376"/>
    <w:rsid w:val="00154464"/>
    <w:rsid w:val="0015476B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67F9D"/>
    <w:rsid w:val="001705D1"/>
    <w:rsid w:val="0017091B"/>
    <w:rsid w:val="001715B8"/>
    <w:rsid w:val="001715F5"/>
    <w:rsid w:val="00172414"/>
    <w:rsid w:val="00172897"/>
    <w:rsid w:val="00173423"/>
    <w:rsid w:val="001737CE"/>
    <w:rsid w:val="0017428A"/>
    <w:rsid w:val="001753CB"/>
    <w:rsid w:val="00175468"/>
    <w:rsid w:val="001756BC"/>
    <w:rsid w:val="00175743"/>
    <w:rsid w:val="00175BB5"/>
    <w:rsid w:val="00176719"/>
    <w:rsid w:val="00177062"/>
    <w:rsid w:val="001779E6"/>
    <w:rsid w:val="00177D2F"/>
    <w:rsid w:val="00180432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1D2"/>
    <w:rsid w:val="00193932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43F0"/>
    <w:rsid w:val="001A4B94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28E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1469"/>
    <w:rsid w:val="001D1604"/>
    <w:rsid w:val="001D1649"/>
    <w:rsid w:val="001D18C6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0D9B"/>
    <w:rsid w:val="001E1417"/>
    <w:rsid w:val="001E1688"/>
    <w:rsid w:val="001E22E0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F02CA"/>
    <w:rsid w:val="001F0882"/>
    <w:rsid w:val="001F0DB1"/>
    <w:rsid w:val="001F1060"/>
    <w:rsid w:val="001F1627"/>
    <w:rsid w:val="001F17CA"/>
    <w:rsid w:val="001F2466"/>
    <w:rsid w:val="001F2510"/>
    <w:rsid w:val="001F2647"/>
    <w:rsid w:val="001F2665"/>
    <w:rsid w:val="001F27E6"/>
    <w:rsid w:val="001F2AC1"/>
    <w:rsid w:val="001F2B21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6145"/>
    <w:rsid w:val="001F64D0"/>
    <w:rsid w:val="001F66DC"/>
    <w:rsid w:val="001F6C56"/>
    <w:rsid w:val="001F71AE"/>
    <w:rsid w:val="001F76DA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6F8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16F79"/>
    <w:rsid w:val="00217526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B21"/>
    <w:rsid w:val="00225FAC"/>
    <w:rsid w:val="002269FC"/>
    <w:rsid w:val="00226C55"/>
    <w:rsid w:val="00226F2A"/>
    <w:rsid w:val="00226F3F"/>
    <w:rsid w:val="002275C8"/>
    <w:rsid w:val="00227B8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F8B"/>
    <w:rsid w:val="0024501B"/>
    <w:rsid w:val="002450C9"/>
    <w:rsid w:val="00245170"/>
    <w:rsid w:val="0024572D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E67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CC2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FA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1724"/>
    <w:rsid w:val="002B22CE"/>
    <w:rsid w:val="002B2508"/>
    <w:rsid w:val="002B2951"/>
    <w:rsid w:val="002B37EC"/>
    <w:rsid w:val="002B3816"/>
    <w:rsid w:val="002B394D"/>
    <w:rsid w:val="002B43F9"/>
    <w:rsid w:val="002B4681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C59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240D"/>
    <w:rsid w:val="002D2AD0"/>
    <w:rsid w:val="002D2F6B"/>
    <w:rsid w:val="002D3230"/>
    <w:rsid w:val="002D3289"/>
    <w:rsid w:val="002D3D37"/>
    <w:rsid w:val="002D3D74"/>
    <w:rsid w:val="002D3D9F"/>
    <w:rsid w:val="002D3EBC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130E"/>
    <w:rsid w:val="002F1B7C"/>
    <w:rsid w:val="002F1C41"/>
    <w:rsid w:val="002F1CE0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B07"/>
    <w:rsid w:val="003074ED"/>
    <w:rsid w:val="00307673"/>
    <w:rsid w:val="00307D29"/>
    <w:rsid w:val="00310792"/>
    <w:rsid w:val="00310B2D"/>
    <w:rsid w:val="003111DE"/>
    <w:rsid w:val="00311DCC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CEF"/>
    <w:rsid w:val="00345DB3"/>
    <w:rsid w:val="0034615A"/>
    <w:rsid w:val="00346566"/>
    <w:rsid w:val="003466D5"/>
    <w:rsid w:val="00346E32"/>
    <w:rsid w:val="00347105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1835"/>
    <w:rsid w:val="00372A54"/>
    <w:rsid w:val="00373FFE"/>
    <w:rsid w:val="003749EF"/>
    <w:rsid w:val="00375016"/>
    <w:rsid w:val="0037584B"/>
    <w:rsid w:val="00375B14"/>
    <w:rsid w:val="00375E1E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11"/>
    <w:rsid w:val="003866F6"/>
    <w:rsid w:val="00386AB7"/>
    <w:rsid w:val="0038742E"/>
    <w:rsid w:val="003877A9"/>
    <w:rsid w:val="00387830"/>
    <w:rsid w:val="003903F5"/>
    <w:rsid w:val="00390D32"/>
    <w:rsid w:val="00391297"/>
    <w:rsid w:val="00392BEF"/>
    <w:rsid w:val="0039362A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650"/>
    <w:rsid w:val="00397753"/>
    <w:rsid w:val="003979DF"/>
    <w:rsid w:val="003A0169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CA9"/>
    <w:rsid w:val="003A49E1"/>
    <w:rsid w:val="003A51BF"/>
    <w:rsid w:val="003A5361"/>
    <w:rsid w:val="003A56B1"/>
    <w:rsid w:val="003A60F7"/>
    <w:rsid w:val="003A65E5"/>
    <w:rsid w:val="003A6CF2"/>
    <w:rsid w:val="003A7049"/>
    <w:rsid w:val="003A77C4"/>
    <w:rsid w:val="003A7D92"/>
    <w:rsid w:val="003B0594"/>
    <w:rsid w:val="003B06C4"/>
    <w:rsid w:val="003B1420"/>
    <w:rsid w:val="003B17D1"/>
    <w:rsid w:val="003B3254"/>
    <w:rsid w:val="003B37FE"/>
    <w:rsid w:val="003B3C47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5187"/>
    <w:rsid w:val="003D5319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A41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793"/>
    <w:rsid w:val="003F5816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BCE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51E3"/>
    <w:rsid w:val="00435AED"/>
    <w:rsid w:val="00436196"/>
    <w:rsid w:val="00436383"/>
    <w:rsid w:val="004363D8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16AC"/>
    <w:rsid w:val="00461F63"/>
    <w:rsid w:val="0046214A"/>
    <w:rsid w:val="00462381"/>
    <w:rsid w:val="004623CD"/>
    <w:rsid w:val="00462A6A"/>
    <w:rsid w:val="00463855"/>
    <w:rsid w:val="00465240"/>
    <w:rsid w:val="00466021"/>
    <w:rsid w:val="004663FB"/>
    <w:rsid w:val="00467281"/>
    <w:rsid w:val="00470502"/>
    <w:rsid w:val="00470B92"/>
    <w:rsid w:val="00470E19"/>
    <w:rsid w:val="004713E7"/>
    <w:rsid w:val="00471816"/>
    <w:rsid w:val="00472540"/>
    <w:rsid w:val="00472568"/>
    <w:rsid w:val="0047256F"/>
    <w:rsid w:val="00472910"/>
    <w:rsid w:val="00472D46"/>
    <w:rsid w:val="00472DC3"/>
    <w:rsid w:val="004730DF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FF2"/>
    <w:rsid w:val="00476BD4"/>
    <w:rsid w:val="004771E9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342"/>
    <w:rsid w:val="00491B48"/>
    <w:rsid w:val="00493091"/>
    <w:rsid w:val="0049317F"/>
    <w:rsid w:val="004939E6"/>
    <w:rsid w:val="00494379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1135"/>
    <w:rsid w:val="004A1712"/>
    <w:rsid w:val="004A1DCC"/>
    <w:rsid w:val="004A1E6F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DF1"/>
    <w:rsid w:val="004B2F6D"/>
    <w:rsid w:val="004B343F"/>
    <w:rsid w:val="004B384A"/>
    <w:rsid w:val="004B38B7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8A8"/>
    <w:rsid w:val="004C2ECC"/>
    <w:rsid w:val="004C355C"/>
    <w:rsid w:val="004C377E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0CBB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A13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5DFF"/>
    <w:rsid w:val="005361D7"/>
    <w:rsid w:val="005367E1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269C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B43"/>
    <w:rsid w:val="00564DBA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1911"/>
    <w:rsid w:val="005F1937"/>
    <w:rsid w:val="005F2077"/>
    <w:rsid w:val="005F228B"/>
    <w:rsid w:val="005F2403"/>
    <w:rsid w:val="005F3C02"/>
    <w:rsid w:val="005F4543"/>
    <w:rsid w:val="005F4582"/>
    <w:rsid w:val="005F470C"/>
    <w:rsid w:val="005F53AC"/>
    <w:rsid w:val="005F5450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2EC"/>
    <w:rsid w:val="0061277F"/>
    <w:rsid w:val="00612B4B"/>
    <w:rsid w:val="00612DC7"/>
    <w:rsid w:val="006134CA"/>
    <w:rsid w:val="006147F1"/>
    <w:rsid w:val="00614AFB"/>
    <w:rsid w:val="00614C0E"/>
    <w:rsid w:val="00614EBA"/>
    <w:rsid w:val="006150EB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2A7"/>
    <w:rsid w:val="00626ADB"/>
    <w:rsid w:val="00626C13"/>
    <w:rsid w:val="00627853"/>
    <w:rsid w:val="00627B34"/>
    <w:rsid w:val="00630740"/>
    <w:rsid w:val="0063132F"/>
    <w:rsid w:val="006320F0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244A"/>
    <w:rsid w:val="0064337C"/>
    <w:rsid w:val="006433CA"/>
    <w:rsid w:val="00643ADB"/>
    <w:rsid w:val="00644148"/>
    <w:rsid w:val="00644197"/>
    <w:rsid w:val="00645A56"/>
    <w:rsid w:val="006460AA"/>
    <w:rsid w:val="00646640"/>
    <w:rsid w:val="00646A52"/>
    <w:rsid w:val="00647584"/>
    <w:rsid w:val="0065074F"/>
    <w:rsid w:val="0065083E"/>
    <w:rsid w:val="00650A68"/>
    <w:rsid w:val="00650B9C"/>
    <w:rsid w:val="0065159C"/>
    <w:rsid w:val="00651BDA"/>
    <w:rsid w:val="006521A7"/>
    <w:rsid w:val="0065264F"/>
    <w:rsid w:val="006527BC"/>
    <w:rsid w:val="00652B43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4BC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CB5"/>
    <w:rsid w:val="00681DB1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E1D"/>
    <w:rsid w:val="006A600C"/>
    <w:rsid w:val="006A6321"/>
    <w:rsid w:val="006A660F"/>
    <w:rsid w:val="006A66BF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0E0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EB8"/>
    <w:rsid w:val="006E1F74"/>
    <w:rsid w:val="006E2186"/>
    <w:rsid w:val="006E2266"/>
    <w:rsid w:val="006E2F84"/>
    <w:rsid w:val="006E319E"/>
    <w:rsid w:val="006E3200"/>
    <w:rsid w:val="006E33AA"/>
    <w:rsid w:val="006E36DE"/>
    <w:rsid w:val="006E40E4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54F"/>
    <w:rsid w:val="006F4599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10987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9B3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CD9"/>
    <w:rsid w:val="00763524"/>
    <w:rsid w:val="0076386F"/>
    <w:rsid w:val="007639C5"/>
    <w:rsid w:val="00764379"/>
    <w:rsid w:val="00764486"/>
    <w:rsid w:val="00764FD3"/>
    <w:rsid w:val="00765174"/>
    <w:rsid w:val="0076535A"/>
    <w:rsid w:val="007659FA"/>
    <w:rsid w:val="00766A9C"/>
    <w:rsid w:val="00766B97"/>
    <w:rsid w:val="00767384"/>
    <w:rsid w:val="00767873"/>
    <w:rsid w:val="00767B28"/>
    <w:rsid w:val="00767DB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735"/>
    <w:rsid w:val="007B4344"/>
    <w:rsid w:val="007B43CC"/>
    <w:rsid w:val="007B459B"/>
    <w:rsid w:val="007B4849"/>
    <w:rsid w:val="007B48C8"/>
    <w:rsid w:val="007B5086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7C2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CC9"/>
    <w:rsid w:val="00803A7E"/>
    <w:rsid w:val="00803E9D"/>
    <w:rsid w:val="00803F41"/>
    <w:rsid w:val="008041A6"/>
    <w:rsid w:val="00804DF5"/>
    <w:rsid w:val="00804FF6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724"/>
    <w:rsid w:val="008158D2"/>
    <w:rsid w:val="0081608D"/>
    <w:rsid w:val="00816A45"/>
    <w:rsid w:val="008175F2"/>
    <w:rsid w:val="0081784F"/>
    <w:rsid w:val="00817D99"/>
    <w:rsid w:val="008202DF"/>
    <w:rsid w:val="008208E7"/>
    <w:rsid w:val="008210AD"/>
    <w:rsid w:val="00821C01"/>
    <w:rsid w:val="00822179"/>
    <w:rsid w:val="008227AC"/>
    <w:rsid w:val="00822AF3"/>
    <w:rsid w:val="00822D6D"/>
    <w:rsid w:val="008235ED"/>
    <w:rsid w:val="008240D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321"/>
    <w:rsid w:val="0085678F"/>
    <w:rsid w:val="00856FB7"/>
    <w:rsid w:val="008576B7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DB5"/>
    <w:rsid w:val="00876070"/>
    <w:rsid w:val="00876AD6"/>
    <w:rsid w:val="00876E9E"/>
    <w:rsid w:val="00876EAF"/>
    <w:rsid w:val="00877A31"/>
    <w:rsid w:val="00877B46"/>
    <w:rsid w:val="008800A7"/>
    <w:rsid w:val="00880470"/>
    <w:rsid w:val="008822B0"/>
    <w:rsid w:val="008823F7"/>
    <w:rsid w:val="008827FD"/>
    <w:rsid w:val="008829AA"/>
    <w:rsid w:val="00882AD4"/>
    <w:rsid w:val="00882FE6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1118"/>
    <w:rsid w:val="008B137D"/>
    <w:rsid w:val="008B2095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B1C"/>
    <w:rsid w:val="008B70F7"/>
    <w:rsid w:val="008B7958"/>
    <w:rsid w:val="008B7B8B"/>
    <w:rsid w:val="008C108C"/>
    <w:rsid w:val="008C16AA"/>
    <w:rsid w:val="008C17F8"/>
    <w:rsid w:val="008C1FE9"/>
    <w:rsid w:val="008C248C"/>
    <w:rsid w:val="008C25C7"/>
    <w:rsid w:val="008C297F"/>
    <w:rsid w:val="008C3100"/>
    <w:rsid w:val="008C3FA7"/>
    <w:rsid w:val="008C51B7"/>
    <w:rsid w:val="008C57CA"/>
    <w:rsid w:val="008C5E5D"/>
    <w:rsid w:val="008C659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E0"/>
    <w:rsid w:val="008E7BA9"/>
    <w:rsid w:val="008F0010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9E7"/>
    <w:rsid w:val="00915C77"/>
    <w:rsid w:val="00915F35"/>
    <w:rsid w:val="009169F0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3717"/>
    <w:rsid w:val="00933939"/>
    <w:rsid w:val="00933B8E"/>
    <w:rsid w:val="0093483D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60E"/>
    <w:rsid w:val="00943BD9"/>
    <w:rsid w:val="00943F10"/>
    <w:rsid w:val="00943FB4"/>
    <w:rsid w:val="009448EF"/>
    <w:rsid w:val="00945B1C"/>
    <w:rsid w:val="00945B72"/>
    <w:rsid w:val="00947337"/>
    <w:rsid w:val="00947C22"/>
    <w:rsid w:val="00950082"/>
    <w:rsid w:val="00950383"/>
    <w:rsid w:val="009509A0"/>
    <w:rsid w:val="00951014"/>
    <w:rsid w:val="00951230"/>
    <w:rsid w:val="00951276"/>
    <w:rsid w:val="009517D8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283F"/>
    <w:rsid w:val="0096290F"/>
    <w:rsid w:val="00962984"/>
    <w:rsid w:val="0096319C"/>
    <w:rsid w:val="009639E0"/>
    <w:rsid w:val="00963D6D"/>
    <w:rsid w:val="00964659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0EA5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3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5DD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6157"/>
    <w:rsid w:val="009C692B"/>
    <w:rsid w:val="009C6949"/>
    <w:rsid w:val="009C6B2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A1B"/>
    <w:rsid w:val="00A26B4D"/>
    <w:rsid w:val="00A26BB8"/>
    <w:rsid w:val="00A2752E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33EE"/>
    <w:rsid w:val="00A84DD2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57"/>
    <w:rsid w:val="00AA191B"/>
    <w:rsid w:val="00AA1942"/>
    <w:rsid w:val="00AA2073"/>
    <w:rsid w:val="00AA3558"/>
    <w:rsid w:val="00AA3793"/>
    <w:rsid w:val="00AA3A98"/>
    <w:rsid w:val="00AA3CEB"/>
    <w:rsid w:val="00AA43E4"/>
    <w:rsid w:val="00AA5681"/>
    <w:rsid w:val="00AA6113"/>
    <w:rsid w:val="00AA6D52"/>
    <w:rsid w:val="00AA7A8F"/>
    <w:rsid w:val="00AA7F22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8A8"/>
    <w:rsid w:val="00AB70A1"/>
    <w:rsid w:val="00AB7434"/>
    <w:rsid w:val="00AB7598"/>
    <w:rsid w:val="00AB77BE"/>
    <w:rsid w:val="00AB7DF9"/>
    <w:rsid w:val="00AC1502"/>
    <w:rsid w:val="00AC1FD5"/>
    <w:rsid w:val="00AC247A"/>
    <w:rsid w:val="00AC2AB3"/>
    <w:rsid w:val="00AC2B3E"/>
    <w:rsid w:val="00AC2B76"/>
    <w:rsid w:val="00AC30D8"/>
    <w:rsid w:val="00AC31AD"/>
    <w:rsid w:val="00AC36BC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179F"/>
    <w:rsid w:val="00AD18F5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DC"/>
    <w:rsid w:val="00AE11C2"/>
    <w:rsid w:val="00AE145B"/>
    <w:rsid w:val="00AE1DCB"/>
    <w:rsid w:val="00AE2062"/>
    <w:rsid w:val="00AE31DB"/>
    <w:rsid w:val="00AE3442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B1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E6E"/>
    <w:rsid w:val="00B13FC8"/>
    <w:rsid w:val="00B1446C"/>
    <w:rsid w:val="00B14BE5"/>
    <w:rsid w:val="00B15159"/>
    <w:rsid w:val="00B15390"/>
    <w:rsid w:val="00B15B5D"/>
    <w:rsid w:val="00B161D8"/>
    <w:rsid w:val="00B16758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5D"/>
    <w:rsid w:val="00B24D95"/>
    <w:rsid w:val="00B2539E"/>
    <w:rsid w:val="00B26F5A"/>
    <w:rsid w:val="00B26FF0"/>
    <w:rsid w:val="00B27F99"/>
    <w:rsid w:val="00B30AC9"/>
    <w:rsid w:val="00B30D3B"/>
    <w:rsid w:val="00B30FD5"/>
    <w:rsid w:val="00B31599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4EB2"/>
    <w:rsid w:val="00B35541"/>
    <w:rsid w:val="00B35621"/>
    <w:rsid w:val="00B356DA"/>
    <w:rsid w:val="00B35854"/>
    <w:rsid w:val="00B379D5"/>
    <w:rsid w:val="00B37A9D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501E4"/>
    <w:rsid w:val="00B503C7"/>
    <w:rsid w:val="00B506DF"/>
    <w:rsid w:val="00B50975"/>
    <w:rsid w:val="00B50C16"/>
    <w:rsid w:val="00B50E2D"/>
    <w:rsid w:val="00B5138C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0F33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A7DF8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F31"/>
    <w:rsid w:val="00BB5E40"/>
    <w:rsid w:val="00BB6217"/>
    <w:rsid w:val="00BB7ABD"/>
    <w:rsid w:val="00BC01F0"/>
    <w:rsid w:val="00BC06CE"/>
    <w:rsid w:val="00BC0EDA"/>
    <w:rsid w:val="00BC187D"/>
    <w:rsid w:val="00BC1C5A"/>
    <w:rsid w:val="00BC2494"/>
    <w:rsid w:val="00BC2648"/>
    <w:rsid w:val="00BC2A96"/>
    <w:rsid w:val="00BC2BBA"/>
    <w:rsid w:val="00BC3870"/>
    <w:rsid w:val="00BC44FF"/>
    <w:rsid w:val="00BC4809"/>
    <w:rsid w:val="00BC5144"/>
    <w:rsid w:val="00BC51E7"/>
    <w:rsid w:val="00BC5629"/>
    <w:rsid w:val="00BC5C88"/>
    <w:rsid w:val="00BC640D"/>
    <w:rsid w:val="00BC7AC0"/>
    <w:rsid w:val="00BD043C"/>
    <w:rsid w:val="00BD0560"/>
    <w:rsid w:val="00BD0C9B"/>
    <w:rsid w:val="00BD118D"/>
    <w:rsid w:val="00BD174A"/>
    <w:rsid w:val="00BD185E"/>
    <w:rsid w:val="00BD3B09"/>
    <w:rsid w:val="00BD3DD5"/>
    <w:rsid w:val="00BD3E09"/>
    <w:rsid w:val="00BD3EE0"/>
    <w:rsid w:val="00BD4083"/>
    <w:rsid w:val="00BD4164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3275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846"/>
    <w:rsid w:val="00C22ACC"/>
    <w:rsid w:val="00C22D6A"/>
    <w:rsid w:val="00C233AA"/>
    <w:rsid w:val="00C235E8"/>
    <w:rsid w:val="00C23909"/>
    <w:rsid w:val="00C23FB6"/>
    <w:rsid w:val="00C243C8"/>
    <w:rsid w:val="00C2481F"/>
    <w:rsid w:val="00C24A67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B84"/>
    <w:rsid w:val="00C40D25"/>
    <w:rsid w:val="00C4153A"/>
    <w:rsid w:val="00C41925"/>
    <w:rsid w:val="00C41E50"/>
    <w:rsid w:val="00C425BC"/>
    <w:rsid w:val="00C4270D"/>
    <w:rsid w:val="00C4287E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BD1"/>
    <w:rsid w:val="00C45E98"/>
    <w:rsid w:val="00C45FCA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321"/>
    <w:rsid w:val="00C5394F"/>
    <w:rsid w:val="00C53F09"/>
    <w:rsid w:val="00C54796"/>
    <w:rsid w:val="00C54AFE"/>
    <w:rsid w:val="00C54E37"/>
    <w:rsid w:val="00C55365"/>
    <w:rsid w:val="00C55FEE"/>
    <w:rsid w:val="00C5660E"/>
    <w:rsid w:val="00C56974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108"/>
    <w:rsid w:val="00C655A6"/>
    <w:rsid w:val="00C66132"/>
    <w:rsid w:val="00C662CA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C67"/>
    <w:rsid w:val="00C82EB4"/>
    <w:rsid w:val="00C832D0"/>
    <w:rsid w:val="00C841A1"/>
    <w:rsid w:val="00C841C8"/>
    <w:rsid w:val="00C84656"/>
    <w:rsid w:val="00C849FC"/>
    <w:rsid w:val="00C84F2B"/>
    <w:rsid w:val="00C855CB"/>
    <w:rsid w:val="00C85705"/>
    <w:rsid w:val="00C85BEA"/>
    <w:rsid w:val="00C8611C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603C"/>
    <w:rsid w:val="00C9711A"/>
    <w:rsid w:val="00C9744E"/>
    <w:rsid w:val="00C977ED"/>
    <w:rsid w:val="00C97990"/>
    <w:rsid w:val="00C97CE3"/>
    <w:rsid w:val="00CA03A6"/>
    <w:rsid w:val="00CA0E9C"/>
    <w:rsid w:val="00CA12B0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FC4"/>
    <w:rsid w:val="00CA54DC"/>
    <w:rsid w:val="00CA5ED1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523B"/>
    <w:rsid w:val="00CC6098"/>
    <w:rsid w:val="00CC615F"/>
    <w:rsid w:val="00CC653C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D0E94"/>
    <w:rsid w:val="00CD2B14"/>
    <w:rsid w:val="00CD2CD0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49D"/>
    <w:rsid w:val="00CE473B"/>
    <w:rsid w:val="00CE47EB"/>
    <w:rsid w:val="00CE5775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236F"/>
    <w:rsid w:val="00CF3218"/>
    <w:rsid w:val="00CF3880"/>
    <w:rsid w:val="00CF3DFE"/>
    <w:rsid w:val="00CF3E8D"/>
    <w:rsid w:val="00CF46F8"/>
    <w:rsid w:val="00CF4752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712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6B4"/>
    <w:rsid w:val="00D549D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A03"/>
    <w:rsid w:val="00D64D8D"/>
    <w:rsid w:val="00D653AD"/>
    <w:rsid w:val="00D654BB"/>
    <w:rsid w:val="00D65AD1"/>
    <w:rsid w:val="00D65C2B"/>
    <w:rsid w:val="00D65D91"/>
    <w:rsid w:val="00D669F1"/>
    <w:rsid w:val="00D67199"/>
    <w:rsid w:val="00D671CD"/>
    <w:rsid w:val="00D674C8"/>
    <w:rsid w:val="00D678EC"/>
    <w:rsid w:val="00D70C1B"/>
    <w:rsid w:val="00D70D87"/>
    <w:rsid w:val="00D71559"/>
    <w:rsid w:val="00D721E3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554"/>
    <w:rsid w:val="00D825BF"/>
    <w:rsid w:val="00D82B3F"/>
    <w:rsid w:val="00D82CAD"/>
    <w:rsid w:val="00D82F87"/>
    <w:rsid w:val="00D831A5"/>
    <w:rsid w:val="00D841CD"/>
    <w:rsid w:val="00D85625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12C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EF2"/>
    <w:rsid w:val="00DB3EF6"/>
    <w:rsid w:val="00DB41EA"/>
    <w:rsid w:val="00DB437F"/>
    <w:rsid w:val="00DB45F9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08A1"/>
    <w:rsid w:val="00DC1286"/>
    <w:rsid w:val="00DC17D7"/>
    <w:rsid w:val="00DC23B2"/>
    <w:rsid w:val="00DC2A1B"/>
    <w:rsid w:val="00DC2AB0"/>
    <w:rsid w:val="00DC2FB3"/>
    <w:rsid w:val="00DC39A4"/>
    <w:rsid w:val="00DC3CF4"/>
    <w:rsid w:val="00DC3ED3"/>
    <w:rsid w:val="00DC4128"/>
    <w:rsid w:val="00DC49EA"/>
    <w:rsid w:val="00DC4D50"/>
    <w:rsid w:val="00DC4F37"/>
    <w:rsid w:val="00DC51D1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5014"/>
    <w:rsid w:val="00DD58C2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80C"/>
    <w:rsid w:val="00E16D97"/>
    <w:rsid w:val="00E16E0D"/>
    <w:rsid w:val="00E1709D"/>
    <w:rsid w:val="00E174AE"/>
    <w:rsid w:val="00E17DB8"/>
    <w:rsid w:val="00E20474"/>
    <w:rsid w:val="00E22F64"/>
    <w:rsid w:val="00E2329E"/>
    <w:rsid w:val="00E23606"/>
    <w:rsid w:val="00E24DFC"/>
    <w:rsid w:val="00E25382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6AD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4CE"/>
    <w:rsid w:val="00E41601"/>
    <w:rsid w:val="00E417D2"/>
    <w:rsid w:val="00E41D10"/>
    <w:rsid w:val="00E41E22"/>
    <w:rsid w:val="00E428D3"/>
    <w:rsid w:val="00E42CD8"/>
    <w:rsid w:val="00E435A1"/>
    <w:rsid w:val="00E43A18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40D"/>
    <w:rsid w:val="00E50806"/>
    <w:rsid w:val="00E50B6A"/>
    <w:rsid w:val="00E5120A"/>
    <w:rsid w:val="00E514CA"/>
    <w:rsid w:val="00E5166D"/>
    <w:rsid w:val="00E51843"/>
    <w:rsid w:val="00E51879"/>
    <w:rsid w:val="00E51D95"/>
    <w:rsid w:val="00E51EC0"/>
    <w:rsid w:val="00E52A02"/>
    <w:rsid w:val="00E530D6"/>
    <w:rsid w:val="00E531E1"/>
    <w:rsid w:val="00E534C9"/>
    <w:rsid w:val="00E5362E"/>
    <w:rsid w:val="00E5422B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56EB"/>
    <w:rsid w:val="00E7644C"/>
    <w:rsid w:val="00E766A1"/>
    <w:rsid w:val="00E769BE"/>
    <w:rsid w:val="00E7787C"/>
    <w:rsid w:val="00E77883"/>
    <w:rsid w:val="00E77C3A"/>
    <w:rsid w:val="00E77FB4"/>
    <w:rsid w:val="00E80B94"/>
    <w:rsid w:val="00E80BC9"/>
    <w:rsid w:val="00E8133E"/>
    <w:rsid w:val="00E81C02"/>
    <w:rsid w:val="00E81D75"/>
    <w:rsid w:val="00E81FC5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4F59"/>
    <w:rsid w:val="00EB5DD1"/>
    <w:rsid w:val="00EB6A2F"/>
    <w:rsid w:val="00EB7262"/>
    <w:rsid w:val="00EC0351"/>
    <w:rsid w:val="00EC07B7"/>
    <w:rsid w:val="00EC1286"/>
    <w:rsid w:val="00EC20B1"/>
    <w:rsid w:val="00EC2151"/>
    <w:rsid w:val="00EC235A"/>
    <w:rsid w:val="00EC25F5"/>
    <w:rsid w:val="00EC2931"/>
    <w:rsid w:val="00EC2B59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658A"/>
    <w:rsid w:val="00EC6AA5"/>
    <w:rsid w:val="00EC6C19"/>
    <w:rsid w:val="00EC6F55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6E6"/>
    <w:rsid w:val="00ED49EA"/>
    <w:rsid w:val="00ED51B3"/>
    <w:rsid w:val="00ED5A55"/>
    <w:rsid w:val="00ED5BDD"/>
    <w:rsid w:val="00ED7C09"/>
    <w:rsid w:val="00EE0143"/>
    <w:rsid w:val="00EE03DD"/>
    <w:rsid w:val="00EE0584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61FE"/>
    <w:rsid w:val="00F06254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42B6"/>
    <w:rsid w:val="00F24B95"/>
    <w:rsid w:val="00F2503A"/>
    <w:rsid w:val="00F25DE2"/>
    <w:rsid w:val="00F260BE"/>
    <w:rsid w:val="00F26291"/>
    <w:rsid w:val="00F300DA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731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89C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933"/>
    <w:rsid w:val="00F85AAE"/>
    <w:rsid w:val="00F85B2C"/>
    <w:rsid w:val="00F85BE7"/>
    <w:rsid w:val="00F869E2"/>
    <w:rsid w:val="00F86AC0"/>
    <w:rsid w:val="00F86E79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1FE0"/>
    <w:rsid w:val="00FB21BE"/>
    <w:rsid w:val="00FB241D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56AE"/>
    <w:rsid w:val="00FE702C"/>
    <w:rsid w:val="00FF0BEF"/>
    <w:rsid w:val="00FF0FC0"/>
    <w:rsid w:val="00FF13D8"/>
    <w:rsid w:val="00FF219A"/>
    <w:rsid w:val="00FF2ECB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F5C3-C39B-41A6-BD8D-FAE020C9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6</cp:revision>
  <cp:lastPrinted>2020-02-22T18:37:00Z</cp:lastPrinted>
  <dcterms:created xsi:type="dcterms:W3CDTF">2020-04-16T18:59:00Z</dcterms:created>
  <dcterms:modified xsi:type="dcterms:W3CDTF">2020-04-18T23:54:00Z</dcterms:modified>
</cp:coreProperties>
</file>