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C35975B"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332B7">
        <w:rPr>
          <w:rFonts w:hint="cs"/>
          <w:u w:val="single"/>
          <w:rtl/>
        </w:rPr>
        <w:t>12</w:t>
      </w:r>
    </w:p>
    <w:p w14:paraId="099743A9" w14:textId="77777777" w:rsidR="00D3321E" w:rsidRDefault="00D3321E" w:rsidP="00F6483C">
      <w:pPr>
        <w:spacing w:after="120"/>
        <w:jc w:val="both"/>
      </w:pPr>
    </w:p>
    <w:p w14:paraId="66085DFF" w14:textId="67EB8574" w:rsidR="00815376" w:rsidRDefault="00C6246D" w:rsidP="00F75641">
      <w:pPr>
        <w:spacing w:after="120"/>
        <w:jc w:val="both"/>
      </w:pPr>
      <w:r>
        <w:rPr>
          <w:rFonts w:hint="cs"/>
          <w:rtl/>
        </w:rPr>
        <w:t>(</w:t>
      </w:r>
      <w:r w:rsidR="00884E7F">
        <w:rPr>
          <w:rFonts w:hint="cs"/>
          <w:rtl/>
        </w:rPr>
        <w:t>1</w:t>
      </w:r>
      <w:r w:rsidR="000E1207">
        <w:rPr>
          <w:rFonts w:hint="cs"/>
          <w:rtl/>
        </w:rPr>
        <w:t xml:space="preserve">) </w:t>
      </w:r>
      <w:r w:rsidR="009715F9">
        <w:rPr>
          <w:rFonts w:hint="cs"/>
          <w:rtl/>
        </w:rPr>
        <w:t xml:space="preserve">לסיים את המקורות מדף </w:t>
      </w:r>
      <w:r w:rsidR="00A84D6E">
        <w:t>11</w:t>
      </w:r>
    </w:p>
    <w:p w14:paraId="45D42306" w14:textId="77777777" w:rsidR="00A84D6E" w:rsidRDefault="00A84D6E" w:rsidP="00F75641">
      <w:pPr>
        <w:spacing w:after="120"/>
        <w:jc w:val="both"/>
        <w:rPr>
          <w:rtl/>
        </w:rPr>
      </w:pPr>
    </w:p>
    <w:p w14:paraId="0E3B9494" w14:textId="156F9809" w:rsidR="00815376" w:rsidRDefault="009715F9" w:rsidP="00F75641">
      <w:pPr>
        <w:spacing w:after="120"/>
        <w:jc w:val="both"/>
        <w:rPr>
          <w:rtl/>
        </w:rPr>
      </w:pPr>
      <w:r>
        <w:rPr>
          <w:rFonts w:hint="cs"/>
          <w:rtl/>
        </w:rPr>
        <w:t xml:space="preserve">(2) גמרא דף סב: </w:t>
      </w:r>
      <w:r w:rsidR="00A84D6E">
        <w:rPr>
          <w:rFonts w:hint="cs"/>
          <w:rtl/>
        </w:rPr>
        <w:t xml:space="preserve">- סג: </w:t>
      </w:r>
      <w:r>
        <w:rPr>
          <w:rFonts w:hint="cs"/>
          <w:rtl/>
        </w:rPr>
        <w:t>"</w:t>
      </w:r>
      <w:r w:rsidR="00A84D6E">
        <w:rPr>
          <w:rFonts w:hint="cs"/>
          <w:rtl/>
        </w:rPr>
        <w:t>איתמר הבא לי גיטי</w:t>
      </w:r>
      <w:r>
        <w:rPr>
          <w:rFonts w:hint="cs"/>
          <w:rtl/>
        </w:rPr>
        <w:t xml:space="preserve"> ... </w:t>
      </w:r>
      <w:r w:rsidR="00A84D6E" w:rsidRPr="00A84D6E">
        <w:rPr>
          <w:rtl/>
        </w:rPr>
        <w:t>הכא מי קאמר ליה הילך כמה שאמרה</w:t>
      </w:r>
      <w:r>
        <w:rPr>
          <w:rFonts w:hint="cs"/>
          <w:rtl/>
        </w:rPr>
        <w:t>", רש"י, תוס'</w:t>
      </w:r>
    </w:p>
    <w:p w14:paraId="5FC8FD08" w14:textId="6D005162" w:rsidR="00584916" w:rsidRDefault="00053F8A" w:rsidP="00584916">
      <w:pPr>
        <w:spacing w:after="120"/>
        <w:jc w:val="both"/>
        <w:rPr>
          <w:rtl/>
        </w:rPr>
      </w:pPr>
      <w:r>
        <w:rPr>
          <w:rFonts w:hint="cs"/>
          <w:rtl/>
        </w:rPr>
        <w:t xml:space="preserve">גמרא ב"מ עו. </w:t>
      </w:r>
      <w:r>
        <w:rPr>
          <w:rtl/>
        </w:rPr>
        <w:t>–</w:t>
      </w:r>
      <w:r>
        <w:rPr>
          <w:rFonts w:hint="cs"/>
          <w:rtl/>
        </w:rPr>
        <w:t xml:space="preserve"> עו: "פשיטא ... </w:t>
      </w:r>
      <w:r w:rsidRPr="00053F8A">
        <w:rPr>
          <w:rtl/>
        </w:rPr>
        <w:t>להולכה לא הוינא</w:t>
      </w:r>
      <w:r>
        <w:rPr>
          <w:rFonts w:hint="cs"/>
          <w:rtl/>
        </w:rPr>
        <w:t>"</w:t>
      </w:r>
    </w:p>
    <w:p w14:paraId="1485248B" w14:textId="54DA8FBC" w:rsidR="00C332B7" w:rsidRDefault="00053F8A" w:rsidP="00584916">
      <w:pPr>
        <w:spacing w:after="120"/>
        <w:jc w:val="both"/>
        <w:rPr>
          <w:rtl/>
        </w:rPr>
      </w:pPr>
      <w:r>
        <w:rPr>
          <w:rFonts w:hint="cs"/>
          <w:rtl/>
        </w:rPr>
        <w:t>ריטב"א כאן ד"ה אלא הכא משום דעקר שליח לשליחותיה, [וע"ע כל דבריו בסוגיין]</w:t>
      </w:r>
    </w:p>
    <w:p w14:paraId="23C2B1FE" w14:textId="397EC3A0" w:rsidR="00053F8A" w:rsidRDefault="00053F8A" w:rsidP="00F75641">
      <w:pPr>
        <w:spacing w:after="120"/>
        <w:jc w:val="both"/>
        <w:rPr>
          <w:rtl/>
        </w:rPr>
      </w:pPr>
      <w:r>
        <w:rPr>
          <w:rFonts w:hint="cs"/>
          <w:rtl/>
        </w:rPr>
        <w:t>תוס' רא"ש ד"ה מימר אמר</w:t>
      </w:r>
    </w:p>
    <w:p w14:paraId="4F23A019" w14:textId="6989E7B5" w:rsidR="00053F8A" w:rsidRDefault="00053F8A" w:rsidP="00F75641">
      <w:pPr>
        <w:spacing w:after="120"/>
        <w:jc w:val="both"/>
        <w:rPr>
          <w:rtl/>
        </w:rPr>
      </w:pPr>
      <w:r>
        <w:rPr>
          <w:rFonts w:hint="cs"/>
          <w:rtl/>
        </w:rPr>
        <w:t xml:space="preserve">רמב"ן ד"ה </w:t>
      </w:r>
      <w:r w:rsidRPr="00053F8A">
        <w:rPr>
          <w:rtl/>
        </w:rPr>
        <w:t>אלא אמרינן כיון שנתן עיניו לגרשה</w:t>
      </w:r>
    </w:p>
    <w:p w14:paraId="278A6276" w14:textId="77777777" w:rsidR="00BA533C" w:rsidRDefault="00BA533C" w:rsidP="00F75641">
      <w:pPr>
        <w:spacing w:after="120"/>
        <w:jc w:val="both"/>
        <w:rPr>
          <w:rtl/>
        </w:rPr>
      </w:pPr>
    </w:p>
    <w:p w14:paraId="6A8AF9DF" w14:textId="1FAC1410" w:rsidR="00053F8A" w:rsidRDefault="00584916" w:rsidP="00F75641">
      <w:pPr>
        <w:spacing w:after="120"/>
        <w:jc w:val="both"/>
        <w:rPr>
          <w:rtl/>
        </w:rPr>
      </w:pPr>
      <w:r>
        <w:rPr>
          <w:rFonts w:hint="cs"/>
          <w:rtl/>
        </w:rPr>
        <w:t>פסק הלכה:</w:t>
      </w:r>
    </w:p>
    <w:p w14:paraId="535B1EEC" w14:textId="0524C232" w:rsidR="00584916" w:rsidRDefault="00584916" w:rsidP="00F75641">
      <w:pPr>
        <w:spacing w:after="120"/>
        <w:jc w:val="both"/>
        <w:rPr>
          <w:rtl/>
        </w:rPr>
      </w:pPr>
      <w:r>
        <w:rPr>
          <w:rFonts w:hint="cs"/>
          <w:rtl/>
        </w:rPr>
        <w:t>רי"ף כאן (דף כח: באלפס), [בה"ג כאן]</w:t>
      </w:r>
    </w:p>
    <w:p w14:paraId="464721B6" w14:textId="13391E11" w:rsidR="00584916" w:rsidRDefault="00584916" w:rsidP="00F75641">
      <w:pPr>
        <w:spacing w:after="120"/>
        <w:jc w:val="both"/>
        <w:rPr>
          <w:rtl/>
        </w:rPr>
      </w:pPr>
      <w:r>
        <w:rPr>
          <w:rFonts w:hint="cs"/>
          <w:rtl/>
        </w:rPr>
        <w:t xml:space="preserve">ר"ן (שם) ד"ה </w:t>
      </w:r>
      <w:r w:rsidRPr="00584916">
        <w:rPr>
          <w:rtl/>
        </w:rPr>
        <w:t>התקבל לי גיטי</w:t>
      </w:r>
      <w:r>
        <w:rPr>
          <w:rFonts w:hint="cs"/>
          <w:rtl/>
        </w:rPr>
        <w:t>, [רא"ש סימן ג]</w:t>
      </w:r>
    </w:p>
    <w:p w14:paraId="2C9A60C2" w14:textId="23AF7989" w:rsidR="00053F8A" w:rsidRDefault="00584916" w:rsidP="00F75641">
      <w:pPr>
        <w:spacing w:after="120"/>
        <w:jc w:val="both"/>
        <w:rPr>
          <w:rtl/>
        </w:rPr>
      </w:pPr>
      <w:r>
        <w:rPr>
          <w:rFonts w:hint="cs"/>
          <w:rtl/>
        </w:rPr>
        <w:t>רמב"ם גירושין ו:יא-יב, לח"מ שם</w:t>
      </w:r>
    </w:p>
    <w:p w14:paraId="2FFE16DA" w14:textId="77777777" w:rsidR="00BA533C" w:rsidRDefault="00584916" w:rsidP="00BA533C">
      <w:pPr>
        <w:spacing w:after="120"/>
        <w:jc w:val="both"/>
        <w:rPr>
          <w:rtl/>
        </w:rPr>
      </w:pPr>
      <w:r>
        <w:rPr>
          <w:rFonts w:hint="cs"/>
          <w:rtl/>
        </w:rPr>
        <w:t>רמב"ם שכירות ט:ג "</w:t>
      </w:r>
      <w:r>
        <w:rPr>
          <w:rtl/>
        </w:rPr>
        <w:t>אמר לו בעל הבית בארבעה</w:t>
      </w:r>
      <w:r>
        <w:rPr>
          <w:rFonts w:hint="cs"/>
          <w:rtl/>
        </w:rPr>
        <w:t xml:space="preserve"> ...", מ"מ שם</w:t>
      </w:r>
    </w:p>
    <w:p w14:paraId="0143DCB2" w14:textId="35A2575B" w:rsidR="005564B3" w:rsidRDefault="00584916" w:rsidP="00BA533C">
      <w:pPr>
        <w:spacing w:after="120"/>
        <w:jc w:val="both"/>
        <w:rPr>
          <w:rtl/>
        </w:rPr>
      </w:pPr>
      <w:r>
        <w:rPr>
          <w:rFonts w:hint="cs"/>
          <w:rtl/>
        </w:rPr>
        <w:t>[רי"ף ב"מ עו. (מו. באלפס) "</w:t>
      </w:r>
      <w:r w:rsidRPr="00584916">
        <w:rPr>
          <w:rtl/>
        </w:rPr>
        <w:t xml:space="preserve">פשיטא </w:t>
      </w:r>
      <w:r>
        <w:rPr>
          <w:rFonts w:hint="cs"/>
          <w:rtl/>
        </w:rPr>
        <w:t xml:space="preserve">... </w:t>
      </w:r>
      <w:r w:rsidRPr="00584916">
        <w:rPr>
          <w:rtl/>
        </w:rPr>
        <w:t>ולא איפשיט הלכך לית להו אלא תלתא</w:t>
      </w:r>
      <w:r>
        <w:rPr>
          <w:rFonts w:hint="cs"/>
          <w:rtl/>
        </w:rPr>
        <w:t>"]</w:t>
      </w:r>
    </w:p>
    <w:p w14:paraId="269EF91E" w14:textId="280695C3" w:rsidR="00BA533C" w:rsidRDefault="00BA533C" w:rsidP="00BA533C">
      <w:pPr>
        <w:spacing w:after="120"/>
        <w:jc w:val="both"/>
        <w:rPr>
          <w:rtl/>
        </w:rPr>
      </w:pPr>
      <w:r>
        <w:rPr>
          <w:rFonts w:hint="cs"/>
          <w:rtl/>
        </w:rPr>
        <w:t>מאירי כאן "אמרה לו התקבל לי גיטי ... בענין אומנין בספק", [עד "</w:t>
      </w:r>
      <w:r>
        <w:rPr>
          <w:rtl/>
        </w:rPr>
        <w:t>דשליח אטעייה ועקר שליחותו מהולכה לגמרי</w:t>
      </w:r>
      <w:r>
        <w:rPr>
          <w:rFonts w:hint="cs"/>
          <w:rtl/>
        </w:rPr>
        <w:t>"]</w:t>
      </w:r>
    </w:p>
    <w:p w14:paraId="1CCF1A96" w14:textId="77777777" w:rsidR="00BA533C" w:rsidRDefault="00BA533C" w:rsidP="00BA533C">
      <w:pPr>
        <w:spacing w:after="120"/>
        <w:jc w:val="both"/>
        <w:rPr>
          <w:rtl/>
        </w:rPr>
      </w:pPr>
    </w:p>
    <w:p w14:paraId="3A1B26B3" w14:textId="167C7D98" w:rsidR="00557150" w:rsidRDefault="00557150" w:rsidP="00F75641">
      <w:pPr>
        <w:spacing w:after="120"/>
        <w:jc w:val="both"/>
        <w:rPr>
          <w:rtl/>
        </w:rPr>
      </w:pPr>
      <w:r>
        <w:rPr>
          <w:rFonts w:hint="cs"/>
          <w:rtl/>
        </w:rPr>
        <w:t>(3) בענין שליח להבאת הגט:</w:t>
      </w:r>
    </w:p>
    <w:p w14:paraId="40EAFDD8" w14:textId="5BC2FFD5" w:rsidR="00557150" w:rsidRDefault="00557150" w:rsidP="00F75641">
      <w:pPr>
        <w:spacing w:after="120"/>
        <w:jc w:val="both"/>
        <w:rPr>
          <w:rtl/>
        </w:rPr>
      </w:pPr>
      <w:r>
        <w:rPr>
          <w:rFonts w:hint="cs"/>
          <w:rtl/>
        </w:rPr>
        <w:t>רש"י ב"מ עו. ד"ה ה"ג הבא לי גיטי</w:t>
      </w:r>
    </w:p>
    <w:p w14:paraId="62DD71F5" w14:textId="1BC85A35" w:rsidR="00557150" w:rsidRDefault="00557150" w:rsidP="00F75641">
      <w:pPr>
        <w:spacing w:after="120"/>
        <w:jc w:val="both"/>
        <w:rPr>
          <w:rtl/>
        </w:rPr>
      </w:pPr>
      <w:r>
        <w:rPr>
          <w:rFonts w:hint="cs"/>
          <w:rtl/>
        </w:rPr>
        <w:t>רמב"ם הל' גירושין פרק ו הלכות א, ג, ד, ה</w:t>
      </w:r>
      <w:r w:rsidR="005564B3">
        <w:rPr>
          <w:rFonts w:hint="cs"/>
          <w:rtl/>
        </w:rPr>
        <w:t>, [מ"מ על הלכה ד]</w:t>
      </w:r>
    </w:p>
    <w:p w14:paraId="0C9F43BE" w14:textId="74362237" w:rsidR="00557150" w:rsidRDefault="00557150" w:rsidP="00557150">
      <w:pPr>
        <w:spacing w:after="120"/>
        <w:jc w:val="both"/>
      </w:pPr>
      <w:r>
        <w:rPr>
          <w:rFonts w:hint="cs"/>
          <w:rtl/>
        </w:rPr>
        <w:t>רמב"ן סב: ד</w:t>
      </w:r>
      <w:r w:rsidR="001C2786">
        <w:rPr>
          <w:rFonts w:hint="cs"/>
          <w:rtl/>
        </w:rPr>
        <w:t>"</w:t>
      </w:r>
      <w:r>
        <w:rPr>
          <w:rFonts w:hint="cs"/>
          <w:rtl/>
        </w:rPr>
        <w:t>ה רש"י ור"ח, ר</w:t>
      </w:r>
      <w:r>
        <w:rPr>
          <w:rtl/>
        </w:rPr>
        <w:t xml:space="preserve">יטב"א </w:t>
      </w:r>
      <w:r>
        <w:rPr>
          <w:rFonts w:hint="cs"/>
          <w:rtl/>
        </w:rPr>
        <w:t xml:space="preserve">שם ד"ה </w:t>
      </w:r>
      <w:r>
        <w:rPr>
          <w:rtl/>
        </w:rPr>
        <w:t>ומיהו באשה אם עושה שליח הולכה והבאה</w:t>
      </w:r>
      <w:r>
        <w:rPr>
          <w:rFonts w:hint="cs"/>
          <w:rtl/>
        </w:rPr>
        <w:t>, ר"ן שם (סוף דף כח. באלפס) ד"ה ובחלקו הראשונים ז"ל</w:t>
      </w:r>
    </w:p>
    <w:p w14:paraId="10A351F8" w14:textId="08058D7D" w:rsidR="009715F9" w:rsidRPr="00557150" w:rsidRDefault="005564B3" w:rsidP="00F75641">
      <w:pPr>
        <w:spacing w:after="120"/>
        <w:jc w:val="both"/>
        <w:rPr>
          <w:rtl/>
        </w:rPr>
      </w:pPr>
      <w:r>
        <w:rPr>
          <w:rFonts w:hint="cs"/>
          <w:rtl/>
        </w:rPr>
        <w:t>שיעורי הרב שם ד"ה הילך כמה שאמרה, [וע"ע אור שמח גירושין ו:ח]</w:t>
      </w:r>
    </w:p>
    <w:p w14:paraId="397C8B4D" w14:textId="02F008A3" w:rsidR="00A84D6E" w:rsidRDefault="00A84D6E" w:rsidP="00F75641">
      <w:pPr>
        <w:spacing w:after="120"/>
        <w:jc w:val="both"/>
        <w:rPr>
          <w:rtl/>
        </w:rPr>
      </w:pPr>
    </w:p>
    <w:p w14:paraId="4D87F86E" w14:textId="74527C09" w:rsidR="00BA533C" w:rsidRDefault="00BA533C" w:rsidP="00F75641">
      <w:pPr>
        <w:spacing w:after="120"/>
        <w:jc w:val="both"/>
        <w:rPr>
          <w:rtl/>
        </w:rPr>
      </w:pPr>
    </w:p>
    <w:p w14:paraId="1B6D6194" w14:textId="4E452B6E" w:rsidR="00BA533C" w:rsidRDefault="00BA533C" w:rsidP="00F75641">
      <w:pPr>
        <w:spacing w:after="120"/>
        <w:jc w:val="both"/>
        <w:rPr>
          <w:rtl/>
        </w:rPr>
      </w:pPr>
    </w:p>
    <w:p w14:paraId="4E9FEB6F" w14:textId="6817DE4F" w:rsidR="00BA533C" w:rsidRDefault="00BA533C" w:rsidP="00F75641">
      <w:pPr>
        <w:spacing w:after="120"/>
        <w:jc w:val="both"/>
        <w:rPr>
          <w:rtl/>
        </w:rPr>
      </w:pPr>
    </w:p>
    <w:p w14:paraId="76B8667F" w14:textId="77777777" w:rsidR="00BA533C" w:rsidRDefault="00BA533C" w:rsidP="00F75641">
      <w:pPr>
        <w:spacing w:after="120"/>
        <w:jc w:val="both"/>
        <w:rPr>
          <w:rtl/>
        </w:rPr>
      </w:pPr>
    </w:p>
    <w:p w14:paraId="5A6D2AE4" w14:textId="291352F5" w:rsidR="00A84D6E" w:rsidRDefault="00A84D6E" w:rsidP="00F75641">
      <w:pPr>
        <w:spacing w:after="120"/>
        <w:jc w:val="both"/>
        <w:rPr>
          <w:rtl/>
        </w:rPr>
      </w:pPr>
    </w:p>
    <w:p w14:paraId="12979632" w14:textId="77777777" w:rsidR="00A84D6E" w:rsidRDefault="00A84D6E" w:rsidP="00F75641">
      <w:pPr>
        <w:spacing w:after="120"/>
        <w:jc w:val="both"/>
        <w:rPr>
          <w:rtl/>
        </w:rPr>
      </w:pPr>
    </w:p>
    <w:p w14:paraId="387B603B" w14:textId="6CBDAC54" w:rsidR="00CC1DEB" w:rsidRDefault="00CC1DEB" w:rsidP="001C2189">
      <w:pPr>
        <w:spacing w:after="120"/>
        <w:jc w:val="both"/>
        <w:rPr>
          <w:rtl/>
        </w:rPr>
      </w:pPr>
    </w:p>
    <w:p w14:paraId="438915CA" w14:textId="7D15C936" w:rsidR="004861D2" w:rsidRDefault="004861D2" w:rsidP="001C2189">
      <w:pPr>
        <w:spacing w:after="120"/>
        <w:jc w:val="both"/>
        <w:rPr>
          <w:rtl/>
        </w:rPr>
      </w:pPr>
    </w:p>
    <w:p w14:paraId="47D50CDC" w14:textId="77777777" w:rsidR="004861D2" w:rsidRDefault="004861D2" w:rsidP="001C2189">
      <w:pPr>
        <w:spacing w:after="120"/>
        <w:jc w:val="both"/>
        <w:rPr>
          <w:rtl/>
        </w:rPr>
      </w:pPr>
    </w:p>
    <w:p w14:paraId="124B4C7C" w14:textId="77777777" w:rsidR="00CC1DEB" w:rsidRDefault="00CC1DEB" w:rsidP="001C2189">
      <w:pPr>
        <w:spacing w:after="120"/>
        <w:jc w:val="both"/>
        <w:rPr>
          <w:rtl/>
        </w:rPr>
      </w:pPr>
    </w:p>
    <w:p w14:paraId="0A2ABB02" w14:textId="77777777" w:rsidR="00584916" w:rsidRPr="00584916" w:rsidRDefault="00584916" w:rsidP="00584916">
      <w:pPr>
        <w:jc w:val="both"/>
        <w:rPr>
          <w:u w:val="single"/>
          <w:rtl/>
        </w:rPr>
      </w:pPr>
      <w:r w:rsidRPr="00584916">
        <w:rPr>
          <w:u w:val="single"/>
          <w:rtl/>
        </w:rPr>
        <w:lastRenderedPageBreak/>
        <w:t>ספר הלכות גדולות סימן לט - הלכות גיטין עמוד תטו - תטז</w:t>
      </w:r>
    </w:p>
    <w:p w14:paraId="51CA17F8" w14:textId="77777777" w:rsidR="00584916" w:rsidRPr="00584916" w:rsidRDefault="00584916" w:rsidP="00584916">
      <w:pPr>
        <w:jc w:val="both"/>
        <w:rPr>
          <w:rtl/>
        </w:rPr>
      </w:pPr>
      <w:r w:rsidRPr="00584916">
        <w:rPr>
          <w:rtl/>
        </w:rPr>
        <w:t xml:space="preserve">והיכא דשויא איהי שליח להולכה ואזל שליח ושני שליחותיה ואמר לבעל דאנא שליח לקבלה, ואמר ליה בעל הילך כמה שאמרה, אף על גב דמטה גיטא לידה לא מיגרשא ביה, מאי טעמא, דשני שליח בשליחותיה ועקרה לשליחות לגמרי, והוה ליה כמאן דאמר לה טלי גיטך מעל גבי קרקע, ואף על גב דמטאי גיטא לידה לא מיגרשא. אבל ודאי שויתיה איהי שליח לקבלה ואזל שליח אמר ליה לבעל דאנא שליח להולכה ואמר ליה בעל הילך כמו שאמרה, כי מטאי גיטא לידה מיגרשה ביה, מאי טעמא, מעוטי הוא דאימעיט שליח בשליחותיה, וכיון דאמר ליה בעל הילך כמה שאמרה כי מטאי גט לידה מיגרשא, דאיתמר (שם) הבא לי גיטי, ואשתך אמרה התקבל לי גיטי, ובעל אומר הילך כמו שאמרה, אמר רב נחמן אמר רבה בר אבוה אמר רב אף על פי שהגיע גט לידה אינה מגורשת, ואמרינן עלה נפשוט מינה דאדיבורא דידיה קא סמיך דאי אדיבורא דידה קא סמיך כי מטאי גט לידה תגרש, אמר רב אשי הכי השתא (שם סג ב) בשלמא אי איתמר איפכא, התקבל לי גיטי, ואשתו אמרה הבא לי גיטי, ובעל אומר הילך כמו שאמרה, כיון שהגיע גט לידו מגורשת, אלמא אדיבורא דידה קא סמיך אי נמי לידה מגורשת, אלמא אדיבורא דידיה קא סמיך, אלא הכא משום דעקרה שליח לשליחותיה לגמרי, דאמר אנא שליח לקבלה הוינא להולכה לא הוינא. והילכתא כדתריץ רב אשי אליבא דרב דהיכא דאמרה הבא לי גיטי, ואזל שליח אמר ליה אשתך אמרה התקבל לי גיטי, עקרה לשליחותיה דאמר אנא שליח לקבלה הוינא שליח להולכה לא הוינא, וליתה לשליחות כלל, [עמוד תטז] ואף על פי שהגיע גט לידה אינה מגורשת, דהוה לה כטלי גיטך מעל גבי קרקע. ודאי אמרה התקבל לי גיטי, ואזל שליח אמר ליה הבא גיטי מעוטי הוא דמעיט בשליחותיה, וכי הגיע גט לידה מגורשת, וכן הלכה. </w:t>
      </w:r>
    </w:p>
    <w:p w14:paraId="7C1E8C5F" w14:textId="77777777" w:rsidR="00584916" w:rsidRDefault="00584916" w:rsidP="00584916">
      <w:pPr>
        <w:jc w:val="both"/>
        <w:rPr>
          <w:u w:val="single"/>
          <w:rtl/>
        </w:rPr>
      </w:pPr>
    </w:p>
    <w:p w14:paraId="38B18751" w14:textId="51065CAF" w:rsidR="005564B3" w:rsidRPr="005564B3" w:rsidRDefault="005564B3" w:rsidP="00584916">
      <w:pPr>
        <w:jc w:val="both"/>
        <w:rPr>
          <w:u w:val="single"/>
          <w:rtl/>
        </w:rPr>
      </w:pPr>
      <w:r w:rsidRPr="005564B3">
        <w:rPr>
          <w:u w:val="single"/>
          <w:rtl/>
        </w:rPr>
        <w:t>שעורי הרב (סולובייצ'יק) מסכת גיטין דף סב עמוד ב</w:t>
      </w:r>
    </w:p>
    <w:p w14:paraId="0DA0F802" w14:textId="77777777" w:rsidR="005564B3" w:rsidRDefault="005564B3" w:rsidP="005564B3">
      <w:pPr>
        <w:jc w:val="both"/>
        <w:rPr>
          <w:rtl/>
        </w:rPr>
      </w:pPr>
      <w:r>
        <w:rPr>
          <w:rtl/>
        </w:rPr>
        <w:t>הילך כמה שאמרה</w:t>
      </w:r>
    </w:p>
    <w:p w14:paraId="73572670" w14:textId="77777777" w:rsidR="005564B3" w:rsidRDefault="005564B3" w:rsidP="005564B3">
      <w:pPr>
        <w:jc w:val="both"/>
        <w:rPr>
          <w:rtl/>
        </w:rPr>
      </w:pPr>
      <w:r>
        <w:rPr>
          <w:rtl/>
        </w:rPr>
        <w:t>איתא בגמרא, הבא לי גיטי ואשתך אמרה התקבל לי גיטי והוא אמר הילך כמה שאמרה אמר רב נחמן אמר רבה בר אבוה אמר רב אפילו הגיע גט לידה אינה מגורשת. וכתב רש"י (ד"ה ש"מ), "הילכך אינה מגורשת דכי יהב בעל ניהליה אדעתא דשליחות קבלה יהיב ניהליה ולאו אדעתא דהולכה ושליח לקבלה לא הוי". והרמב"ם כתב (פ"ו מגירושין הי"א), "שליח האשה שבא ליטול גט מן הבעל ואמר לו שליח קבלה אני ואמר לו הבעל הילך גט זה כמו שאמרה, כלומר איני עוקר שליחותה אלא בין שעשת אותך שליח קבלה או שליח הבאה הרי את כמו שאמרה, והביא את הגט ואמרה לו לא שמתיך אלא שליח הבאה, אפילו הגיע הגט לידה אינה מגורשת, שהרי עקר השליח שליחות שאמרה היא ואמר לבעל מעולם לא נעשיתי שליח הבאה לה".</w:t>
      </w:r>
    </w:p>
    <w:p w14:paraId="716A7BFD" w14:textId="77777777" w:rsidR="005564B3" w:rsidRDefault="005564B3" w:rsidP="005564B3">
      <w:pPr>
        <w:jc w:val="both"/>
        <w:rPr>
          <w:rtl/>
        </w:rPr>
      </w:pPr>
      <w:r>
        <w:rPr>
          <w:rtl/>
        </w:rPr>
        <w:t>הרי שהרמב"ם אמר שהאשה מינתה אותו שליח הבאה, ולעיל כתב הרמב"ם (שם ה"ד - ה') שדין שליח הבאה הוא שהאשה מתגרשת כשיגיע הגט לידה. ורש"י לא הזכיר שליחות הבאה בשום מקום, וכנראה דס"ל ששליחות כזו אינה קיימת. ובאמת יש להקשות על שליחות זו, איזה נתינת הגט היא הנתינה הכורתת, שאין לומר שנתינת השליח להאשה היא הנתינת הכורתת, שרק נתינת הבעל או נתינת שליח הולכה שהעניק לו הבעל כח נתינה יכולה להיות נתינה הכורתת, וגם אין לומר שנתינת הבעל להשליח היא נתינה הכורתת, שרק נתינה להאשה או לשליח קבלה יכולה להיות נתינה הכורתת. אלא צ"ל שאמנם נתינת הגט הכורתת היא נתינת שליח ההבאה להאשה, אלא שנתינה זו מצרפת להאשה את נתינת הבעל להשליח, ופעולת צירוף זה היא חידוש הדין של שליח הבאה. ועפי"ז נראה לומר שטעם הרמב"ם כאן שאינה מגורשת הוא שא"א לצרף נתינת הבעל להשליח שהיתה על דעת שליחות קבלה לנתינת השליח להאשה שהיתה על דעת שליחות הבאה, וא"כ חסר הצירוף הנצרך בשליחות הבאה כדי לפעול נתינה כורתת.</w:t>
      </w:r>
    </w:p>
    <w:p w14:paraId="1D2388EE" w14:textId="77777777" w:rsidR="005564B3" w:rsidRDefault="005564B3" w:rsidP="005564B3">
      <w:pPr>
        <w:jc w:val="both"/>
        <w:rPr>
          <w:rtl/>
        </w:rPr>
      </w:pPr>
      <w:r>
        <w:rPr>
          <w:rtl/>
        </w:rPr>
        <w:t>והנה הרמב"ם כתב (שם הי"ב), "אמר השליח לבעל שליח הבאה אני ואמר לו הבעל הא לך כמו שאמרה והביא את הגט ואמרה לו שליח קבלה שמתיך, כיון שהגיע הגט לידה מגורשת, שהרי לא עקר שליחות שאמרה אלא גרע אותה שהרי היא אומרת לקבלה והוא אומר לבעל להבאה בלבד". הרי שהרמב"ם אומר ששליח לקבלה יכול להיות שליח להבאה משום ששליחות לקבלה היא שליחות ברמה גבוהה משליחות להבאה, וממילא שליחות להבאה נכללת בשליחות לקבלה, כעין יש בכלל מאתים מנה. אך א"כ קשה, שזה סותר מ"ש הרמב"ם בהי"א שא"א לצרף נתינת הבעל להשליח שהיתה על דעת שליחות קבלה לנתינת השליח להאשה שהיתה על דעת שליחות הבאה, שלדברי הרמב"ם בהי"ב צריכה קבלת השליח בתור שליח לקבלה לכלול קבלה בתור שליח הבאה כדי להצטרף עם קבלת האשה.</w:t>
      </w:r>
    </w:p>
    <w:p w14:paraId="16D24829" w14:textId="7748DB37" w:rsidR="00CF1A36" w:rsidRPr="00FE29F8" w:rsidRDefault="005564B3" w:rsidP="005564B3">
      <w:pPr>
        <w:jc w:val="both"/>
      </w:pPr>
      <w:r>
        <w:rPr>
          <w:rtl/>
        </w:rPr>
        <w:t>ונראה שיש לחלק בזה בין מינוי השליחות לקיום השליחות. ששליחות לקבלה כוללת שליחות להבאה לענין מינוי השליחות ולא לענין קיומה. ולכן בהי"ב השליח שנתמנה שליח לקבלה נתמנה גם להיות שליח הבאה. אבל קיום שליחות הבאה שונה מקיום שליחות לקבלה, שקיום שליחות הבאה הוא צירוף נתינת הבעל להשליח לקבלת האשה, וצירוף זה אינו בכלל קיום שליחות לקבלה. ולכן בהי"א אין נתינת הבעל להשליח בתור קיום שליחות לקבלה יכולה להצטרף לנתינת השליח להאשה לפעול קיום שליחות הבאה.</w:t>
      </w:r>
    </w:p>
    <w:sectPr w:rsidR="00CF1A36" w:rsidRPr="00FE29F8" w:rsidSect="004861D2">
      <w:footerReference w:type="default" r:id="rId8"/>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6BF3" w14:textId="77777777" w:rsidR="000355B9" w:rsidRDefault="000355B9">
      <w:r>
        <w:separator/>
      </w:r>
    </w:p>
  </w:endnote>
  <w:endnote w:type="continuationSeparator" w:id="0">
    <w:p w14:paraId="4ED6018D" w14:textId="77777777" w:rsidR="000355B9" w:rsidRDefault="0003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8192" w14:textId="77777777" w:rsidR="000355B9" w:rsidRDefault="000355B9">
      <w:r>
        <w:separator/>
      </w:r>
    </w:p>
  </w:footnote>
  <w:footnote w:type="continuationSeparator" w:id="0">
    <w:p w14:paraId="5C5A1AE5" w14:textId="77777777" w:rsidR="000355B9" w:rsidRDefault="00035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2A6"/>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17E1"/>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96"/>
    <w:rsid w:val="00A24902"/>
    <w:rsid w:val="00A252F4"/>
    <w:rsid w:val="00A25E9F"/>
    <w:rsid w:val="00A260EF"/>
    <w:rsid w:val="00A263D1"/>
    <w:rsid w:val="00A268FF"/>
    <w:rsid w:val="00A26BB8"/>
    <w:rsid w:val="00A2752E"/>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6B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6A46"/>
    <w:rsid w:val="00F56AD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8</cp:revision>
  <cp:lastPrinted>2022-09-22T05:54:00Z</cp:lastPrinted>
  <dcterms:created xsi:type="dcterms:W3CDTF">2022-10-28T10:38:00Z</dcterms:created>
  <dcterms:modified xsi:type="dcterms:W3CDTF">2022-10-30T06:11:00Z</dcterms:modified>
</cp:coreProperties>
</file>