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ד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54"/>
          <w:szCs w:val="5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54"/>
          <w:szCs w:val="54"/>
          <w:highlight w:val="white"/>
          <w:rtl w:val="0"/>
        </w:rPr>
        <w:t xml:space="preserve">Depths of the Netziv - Matos Maasei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i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במדבר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ל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כ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-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ל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ָׂ֗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ֵּ֚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ֵׂ֣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ָ֨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ֵׁ֤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׀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׀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ֻ֣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ִּׁ֗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במדבר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ל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ל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</w:t>
        </w:r>
      </w:hyperlink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שומרי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משמרת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משכן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׳.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נתבאר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הלשון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שומרים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עוסקים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פלפולה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וכדאי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דבתחלה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ושוטרים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מורים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ומדריכים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ושומרים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נגע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שכינת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ונכתב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ללמדנו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לדורות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שהולך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למלחמה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ונדרש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לתפלה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יקרנו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ועונש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הסכנה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שעוסק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בעבודה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ותפלתו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ליתן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מחלק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אנשי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הצבא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המכפר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ועוסק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בעבודה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צרכיו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מחויבים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ליתן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מחלקם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וחלק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גבוה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לקדוש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העומד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היושבים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במנוחה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בביתם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להפריש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מהטוב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שמגיע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לשומרי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ועמליה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שבזכות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נשמרים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מודרכים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בהליכות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להפריש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מתבואת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וניתן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להפריש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הטוב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לעמלי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דברים</w:t>
        </w:r>
      </w:hyperlink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י</w:t>
        </w:r>
      </w:hyperlink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ח</w:t>
        </w:r>
      </w:hyperlink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ֵׁ֣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֩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דברים</w:t>
        </w:r>
      </w:hyperlink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י</w:t>
        </w:r>
      </w:hyperlink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ח</w:t>
        </w:r>
      </w:hyperlink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תמוה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לסמיכות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הרחוקים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בזמנם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להודיע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ויותר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סיפיה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לשרתו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ולברך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ופרש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בנשיאת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כפים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בעמידה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בסוטה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הקישים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עגלה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ערופה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ולברך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איתקיש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לשירות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לשרת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ולפרש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תיפוק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ולברך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[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במכילתא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דמילואים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שמיני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לשיטת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התלמוד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].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לחז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ביחוד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הבין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שמיטין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ויובלות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בנחלת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ובביזתה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שהובדל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ולשרתו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ולהורות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דרכיו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הישרים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נדבה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רוחו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והבינו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מדעו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להבדל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ולעבדו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לדעה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שירות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בהמ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במובדל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לגבוה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במוסרה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ביטבתה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קבלו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ביחוד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ולהיות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פרושים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לגבוה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וכדאי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ביבמות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בראשונה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מעמידים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שוטרים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שנאמר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ושוטרים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ושוטרים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בראשיכם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גדולי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המבינים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יאשיהו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המבינים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הקדושים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מלך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בכתף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עבדו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אלקיכם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וביארנו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שצוה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פרושים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ומשוקעים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בקדושת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המחשבה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יתעסקו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ברבוי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תלמידים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ללמדם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פלפולה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מיוחדים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נחמיה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המבינים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שהבדיל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והגנוז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ברמיזותיה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ודקדוקיה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ויתנה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הנושאים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נושאים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בצלאל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הכוונה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נכללו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וקדושת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מסייעת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לקדושת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במעלה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יתירה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וראוי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דמכאן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והלאה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לייחס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המכונים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דאיתא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בירושלמי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ויקומו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ויברכו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בדורו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יחזקיהו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יגעים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דייקו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דמיירי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שכינה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למדנו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בצלאל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התלמוד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נתנה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רמז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להשוותם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ממילא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להבין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דאיתא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בידנו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מאבותינו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וכרובים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עומדים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בחנם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בבהמ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ללמדנו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שעשה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בצלאל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תופס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בטבע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התלמוד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השופר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הכרובים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השגחת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בהגנה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משבעים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בפרנסתם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בארצו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וחשבון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בטבע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הליכות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מאמרם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סובל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סובליו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הבחינה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ושימת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מתקיים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התלמוד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2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</w:rPr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5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דברים</w:t>
        </w:r>
      </w:hyperlink>
      <w:hyperlink r:id="rId6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י</w:t>
        </w:r>
      </w:hyperlink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ח</w:t>
        </w:r>
      </w:hyperlink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6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תמוה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לסמיכות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הרחוקים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בזמנם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להודיע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ויותר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סיפיה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לשרתו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ולברך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ופרש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בנשיאת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כפים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בעמידה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בסוטה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הקישים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עגלה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ערופה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ולברך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איתקיש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לשירות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לשרת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ולפרש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תיפוק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ולברך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[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במכילתא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דמילואים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שמיני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לשיטת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התלמוד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].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לחז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ביחוד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הבין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שמיטין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ויובלות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בנחלת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ובביזתה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שהובדל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ולשרתו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ולהורות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דרכיו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הישרים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נדבה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רוחו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והבינו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מדעו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להבדל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ולעבדו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לדעה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שירות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בהמ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במובדל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לגבוה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במוסרה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ביטבתה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קבלו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ביחוד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ולהיות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פרושים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לגבוה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וכדאי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ביבמות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בראשונה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מעמידים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שוטרים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שנאמר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ושוטרים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ושוטרים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בראשיכם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גדולי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המבינים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יאשיהו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המבינים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הקדושים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מלך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בכתף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עבדו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אלקיכם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וביארנו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שצוה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פרושים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ומשוקעים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בקדושת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המחשבה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יתעסקו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ברבוי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תלמידים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ללמדם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פלפולה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מיוחדים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נחמיה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המבינים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שהבדיל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והגנוז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ברמיזותיה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ודקדוקיה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ויתנה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הנושאים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נושאים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בצלאל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הכוונה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נכללו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וקדושת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מסייעת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לקדושת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במעלה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יתירה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וראוי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דמכאן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והלאה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לייחס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בשבט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המכונים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דאיתא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בירושלמי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ויקומו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ויברכו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בדורו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יחזקיהו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יגעים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דייקו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דמיירי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שכינה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למדנו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ענינים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בצלאל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למשא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התלמוד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שהתורה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נתנה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רמז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להשוותם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ממילא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להבין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דאיתא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בידנו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מאבותינו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וכרובים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עומדים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בחנם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בבהמ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ללמדנו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שעשה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בצלאל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תופס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בטבע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עמד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התלמוד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ויהי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השופר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הכרובים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השגחת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בהגנה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משבעים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בפרנסתם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בארצו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וחשבון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בטבע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הליכות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מאמרם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סובל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סובליו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הבחינה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ושימת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מתקיים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בארון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התלמוד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color w:val="33333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efaria.org/Haamek_Davar_on_Deuteronomy.10.8.1" TargetMode="External"/><Relationship Id="rId42" Type="http://schemas.openxmlformats.org/officeDocument/2006/relationships/hyperlink" Target="https://www.sefaria.org/Haamek_Davar_on_Deuteronomy.10.8.1" TargetMode="External"/><Relationship Id="rId41" Type="http://schemas.openxmlformats.org/officeDocument/2006/relationships/hyperlink" Target="https://www.sefaria.org/Haamek_Davar_on_Deuteronomy.10.8.1" TargetMode="External"/><Relationship Id="rId44" Type="http://schemas.openxmlformats.org/officeDocument/2006/relationships/hyperlink" Target="https://www.sefaria.org/Haamek_Davar_on_Deuteronomy.10.8.1" TargetMode="External"/><Relationship Id="rId43" Type="http://schemas.openxmlformats.org/officeDocument/2006/relationships/hyperlink" Target="https://www.sefaria.org/Haamek_Davar_on_Deuteronomy.10.8.1" TargetMode="External"/><Relationship Id="rId46" Type="http://schemas.openxmlformats.org/officeDocument/2006/relationships/hyperlink" Target="https://www.sefaria.org/Haamek_Davar_on_Deuteronomy.10.8.1" TargetMode="External"/><Relationship Id="rId45" Type="http://schemas.openxmlformats.org/officeDocument/2006/relationships/hyperlink" Target="https://www.sefaria.org/Haamek_Davar_on_Deuteronomy.10.8.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sefaria.org/Numbers.31.25-30" TargetMode="External"/><Relationship Id="rId48" Type="http://schemas.openxmlformats.org/officeDocument/2006/relationships/hyperlink" Target="https://www.sefaria.org/Haamek_Davar_on_Deuteronomy.10.8.1" TargetMode="External"/><Relationship Id="rId47" Type="http://schemas.openxmlformats.org/officeDocument/2006/relationships/hyperlink" Target="https://www.sefaria.org/Haamek_Davar_on_Deuteronomy.10.8.1" TargetMode="External"/><Relationship Id="rId49" Type="http://schemas.openxmlformats.org/officeDocument/2006/relationships/hyperlink" Target="https://www.sefaria.org/Haamek_Davar_on_Deuteronomy.10.8.1" TargetMode="External"/><Relationship Id="rId5" Type="http://schemas.openxmlformats.org/officeDocument/2006/relationships/hyperlink" Target="https://www.sefaria.org/Numbers.31.25-30" TargetMode="External"/><Relationship Id="rId6" Type="http://schemas.openxmlformats.org/officeDocument/2006/relationships/hyperlink" Target="https://www.sefaria.org/Numbers.31.25-30" TargetMode="External"/><Relationship Id="rId7" Type="http://schemas.openxmlformats.org/officeDocument/2006/relationships/hyperlink" Target="https://www.sefaria.org/Numbers.31.25-30" TargetMode="External"/><Relationship Id="rId8" Type="http://schemas.openxmlformats.org/officeDocument/2006/relationships/hyperlink" Target="https://www.sefaria.org/Numbers.31.25-30" TargetMode="External"/><Relationship Id="rId31" Type="http://schemas.openxmlformats.org/officeDocument/2006/relationships/hyperlink" Target="https://www.sefaria.org/Haamek_Davar_on_Numbers.31.30.2" TargetMode="External"/><Relationship Id="rId30" Type="http://schemas.openxmlformats.org/officeDocument/2006/relationships/hyperlink" Target="https://www.sefaria.org/Haamek_Davar_on_Numbers.31.30.2" TargetMode="External"/><Relationship Id="rId33" Type="http://schemas.openxmlformats.org/officeDocument/2006/relationships/hyperlink" Target="https://www.sefaria.org/Deuteronomy.10.8" TargetMode="External"/><Relationship Id="rId32" Type="http://schemas.openxmlformats.org/officeDocument/2006/relationships/hyperlink" Target="https://www.sefaria.org/Haamek_Davar_on_Numbers.31.30.2" TargetMode="External"/><Relationship Id="rId35" Type="http://schemas.openxmlformats.org/officeDocument/2006/relationships/hyperlink" Target="https://www.sefaria.org/Deuteronomy.10.8" TargetMode="External"/><Relationship Id="rId34" Type="http://schemas.openxmlformats.org/officeDocument/2006/relationships/hyperlink" Target="https://www.sefaria.org/Deuteronomy.10.8" TargetMode="External"/><Relationship Id="rId37" Type="http://schemas.openxmlformats.org/officeDocument/2006/relationships/hyperlink" Target="https://www.sefaria.org/Deuteronomy.10.8" TargetMode="External"/><Relationship Id="rId36" Type="http://schemas.openxmlformats.org/officeDocument/2006/relationships/hyperlink" Target="https://www.sefaria.org/Deuteronomy.10.8" TargetMode="External"/><Relationship Id="rId39" Type="http://schemas.openxmlformats.org/officeDocument/2006/relationships/hyperlink" Target="https://www.sefaria.org/Haamek_Davar_on_Deuteronomy.10.8.1" TargetMode="External"/><Relationship Id="rId38" Type="http://schemas.openxmlformats.org/officeDocument/2006/relationships/hyperlink" Target="https://www.sefaria.org/Deuteronomy.10.8" TargetMode="External"/><Relationship Id="rId62" Type="http://schemas.openxmlformats.org/officeDocument/2006/relationships/hyperlink" Target="https://www.sefaria.org/Haamek_Davar_on_Deuteronomy.10.8.1" TargetMode="External"/><Relationship Id="rId61" Type="http://schemas.openxmlformats.org/officeDocument/2006/relationships/hyperlink" Target="https://www.sefaria.org/Haamek_Davar_on_Deuteronomy.10.8.1" TargetMode="External"/><Relationship Id="rId20" Type="http://schemas.openxmlformats.org/officeDocument/2006/relationships/hyperlink" Target="https://www.sefaria.org/Haamek_Davar_on_Numbers.31.30.2" TargetMode="External"/><Relationship Id="rId64" Type="http://schemas.openxmlformats.org/officeDocument/2006/relationships/hyperlink" Target="https://www.sefaria.org/Haamek_Davar_on_Deuteronomy.10.8.1" TargetMode="External"/><Relationship Id="rId63" Type="http://schemas.openxmlformats.org/officeDocument/2006/relationships/hyperlink" Target="https://www.sefaria.org/Haamek_Davar_on_Deuteronomy.10.8.1" TargetMode="External"/><Relationship Id="rId22" Type="http://schemas.openxmlformats.org/officeDocument/2006/relationships/hyperlink" Target="https://www.sefaria.org/Haamek_Davar_on_Numbers.31.30.2" TargetMode="External"/><Relationship Id="rId66" Type="http://schemas.openxmlformats.org/officeDocument/2006/relationships/hyperlink" Target="https://www.sefaria.org/Haamek_Davar_on_Deuteronomy.10.8.1" TargetMode="External"/><Relationship Id="rId21" Type="http://schemas.openxmlformats.org/officeDocument/2006/relationships/hyperlink" Target="https://www.sefaria.org/Haamek_Davar_on_Numbers.31.30.2" TargetMode="External"/><Relationship Id="rId65" Type="http://schemas.openxmlformats.org/officeDocument/2006/relationships/hyperlink" Target="https://www.sefaria.org/Haamek_Davar_on_Deuteronomy.10.8.1" TargetMode="External"/><Relationship Id="rId24" Type="http://schemas.openxmlformats.org/officeDocument/2006/relationships/hyperlink" Target="https://www.sefaria.org/Haamek_Davar_on_Numbers.31.30.2" TargetMode="External"/><Relationship Id="rId23" Type="http://schemas.openxmlformats.org/officeDocument/2006/relationships/hyperlink" Target="https://www.sefaria.org/Haamek_Davar_on_Numbers.31.30.2" TargetMode="External"/><Relationship Id="rId60" Type="http://schemas.openxmlformats.org/officeDocument/2006/relationships/hyperlink" Target="https://www.sefaria.org/Haamek_Davar_on_Deuteronomy.10.8.1" TargetMode="External"/><Relationship Id="rId26" Type="http://schemas.openxmlformats.org/officeDocument/2006/relationships/hyperlink" Target="https://www.sefaria.org/Haamek_Davar_on_Numbers.31.30.2" TargetMode="External"/><Relationship Id="rId25" Type="http://schemas.openxmlformats.org/officeDocument/2006/relationships/hyperlink" Target="https://www.sefaria.org/Haamek_Davar_on_Numbers.31.30.2" TargetMode="External"/><Relationship Id="rId28" Type="http://schemas.openxmlformats.org/officeDocument/2006/relationships/hyperlink" Target="https://www.sefaria.org/Haamek_Davar_on_Numbers.31.30.2" TargetMode="External"/><Relationship Id="rId27" Type="http://schemas.openxmlformats.org/officeDocument/2006/relationships/hyperlink" Target="https://www.sefaria.org/Haamek_Davar_on_Numbers.31.30.2" TargetMode="External"/><Relationship Id="rId29" Type="http://schemas.openxmlformats.org/officeDocument/2006/relationships/hyperlink" Target="https://www.sefaria.org/Haamek_Davar_on_Numbers.31.30.2" TargetMode="External"/><Relationship Id="rId51" Type="http://schemas.openxmlformats.org/officeDocument/2006/relationships/hyperlink" Target="https://www.sefaria.org/Haamek_Davar_on_Deuteronomy.10.8.1" TargetMode="External"/><Relationship Id="rId50" Type="http://schemas.openxmlformats.org/officeDocument/2006/relationships/hyperlink" Target="https://www.sefaria.org/Haamek_Davar_on_Deuteronomy.10.8.1" TargetMode="External"/><Relationship Id="rId53" Type="http://schemas.openxmlformats.org/officeDocument/2006/relationships/hyperlink" Target="https://www.sefaria.org/Haamek_Davar_on_Deuteronomy.10.8.1" TargetMode="External"/><Relationship Id="rId52" Type="http://schemas.openxmlformats.org/officeDocument/2006/relationships/hyperlink" Target="https://www.sefaria.org/Haamek_Davar_on_Deuteronomy.10.8.1" TargetMode="External"/><Relationship Id="rId11" Type="http://schemas.openxmlformats.org/officeDocument/2006/relationships/hyperlink" Target="https://www.sefaria.org/Numbers.31.25-30" TargetMode="External"/><Relationship Id="rId55" Type="http://schemas.openxmlformats.org/officeDocument/2006/relationships/hyperlink" Target="https://www.sefaria.org/Haamek_Davar_on_Deuteronomy.10.8.1" TargetMode="External"/><Relationship Id="rId10" Type="http://schemas.openxmlformats.org/officeDocument/2006/relationships/hyperlink" Target="https://www.sefaria.org/Numbers.31.25-30" TargetMode="External"/><Relationship Id="rId54" Type="http://schemas.openxmlformats.org/officeDocument/2006/relationships/hyperlink" Target="https://www.sefaria.org/Haamek_Davar_on_Deuteronomy.10.8.1" TargetMode="External"/><Relationship Id="rId13" Type="http://schemas.openxmlformats.org/officeDocument/2006/relationships/hyperlink" Target="https://www.sefaria.org/Numbers.31.25-30" TargetMode="External"/><Relationship Id="rId57" Type="http://schemas.openxmlformats.org/officeDocument/2006/relationships/hyperlink" Target="https://www.sefaria.org/Haamek_Davar_on_Deuteronomy.10.8.1" TargetMode="External"/><Relationship Id="rId12" Type="http://schemas.openxmlformats.org/officeDocument/2006/relationships/hyperlink" Target="https://www.sefaria.org/Numbers.31.25-30" TargetMode="External"/><Relationship Id="rId56" Type="http://schemas.openxmlformats.org/officeDocument/2006/relationships/hyperlink" Target="https://www.sefaria.org/Haamek_Davar_on_Deuteronomy.10.8.1" TargetMode="External"/><Relationship Id="rId15" Type="http://schemas.openxmlformats.org/officeDocument/2006/relationships/hyperlink" Target="https://www.sefaria.org/Numbers.31.25-30" TargetMode="External"/><Relationship Id="rId59" Type="http://schemas.openxmlformats.org/officeDocument/2006/relationships/hyperlink" Target="https://www.sefaria.org/Haamek_Davar_on_Deuteronomy.10.8.1" TargetMode="External"/><Relationship Id="rId14" Type="http://schemas.openxmlformats.org/officeDocument/2006/relationships/hyperlink" Target="https://www.sefaria.org/Numbers.31.25-30" TargetMode="External"/><Relationship Id="rId58" Type="http://schemas.openxmlformats.org/officeDocument/2006/relationships/hyperlink" Target="https://www.sefaria.org/Haamek_Davar_on_Deuteronomy.10.8.1" TargetMode="External"/><Relationship Id="rId17" Type="http://schemas.openxmlformats.org/officeDocument/2006/relationships/hyperlink" Target="https://www.sefaria.org/Haamek_Davar_on_Numbers.31.30.2" TargetMode="External"/><Relationship Id="rId16" Type="http://schemas.openxmlformats.org/officeDocument/2006/relationships/hyperlink" Target="https://www.sefaria.org/Numbers.31.25-30" TargetMode="External"/><Relationship Id="rId19" Type="http://schemas.openxmlformats.org/officeDocument/2006/relationships/hyperlink" Target="https://www.sefaria.org/Haamek_Davar_on_Numbers.31.30.2" TargetMode="External"/><Relationship Id="rId18" Type="http://schemas.openxmlformats.org/officeDocument/2006/relationships/hyperlink" Target="https://www.sefaria.org/Haamek_Davar_on_Numbers.31.30.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