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contextualSpacing w:val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1"/>
        </w:rPr>
        <w:t xml:space="preserve">ד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sz w:val="54"/>
          <w:szCs w:val="5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54"/>
          <w:szCs w:val="54"/>
          <w:highlight w:val="white"/>
          <w:rtl w:val="0"/>
        </w:rPr>
        <w:t xml:space="preserve">DEPTHS OF THE NETZIV - KORACH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i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i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contextualSpacing w:val="0"/>
        <w:rPr>
          <w:rFonts w:ascii="Times New Roman" w:cs="Times New Roman" w:eastAsia="Times New Roman" w:hAnsi="Times New Roman"/>
          <w:i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2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highlight w:val="white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במדבר</w:t>
        </w:r>
      </w:hyperlink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ט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ז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׳-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י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ג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ַּ֣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ֶּ֖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ֻ֙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ֶׁ֔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ִׁ֥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ְׂ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ִּׁ֣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ִׂ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ֵֽׁ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ֶׁ֣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֮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֒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ֻּ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ִׁ֔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ְּׂ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ֶׁ֔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ֵּ֨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ֹ֮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֒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ֶׁ֥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ׂ֑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׀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ִׂ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ּ֩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ֶׁ֖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ֶּ֗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֩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ְׂ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ְׂ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ַּ֣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ָ֔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ֶּ֖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ֻ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ָ֔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תלונו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ּ]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ֶׁ֔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ֹ֥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֙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ׁ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ִּֽ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ְׂ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ְׂ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ֵֽ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׃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2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highlight w:val="white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העמק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דבר</w:t>
        </w:r>
      </w:hyperlink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על</w:t>
        </w:r>
      </w:hyperlink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במדבר</w:t>
        </w:r>
      </w:hyperlink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 </w:t>
        </w:r>
      </w:hyperlink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ט</w:t>
        </w:r>
      </w:hyperlink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״</w:t>
        </w:r>
      </w:hyperlink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ז</w:t>
        </w:r>
      </w:hyperlink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:</w:t>
        </w:r>
      </w:hyperlink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׳:</w:t>
        </w:r>
      </w:hyperlink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א</w:t>
        </w:r>
      </w:hyperlink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36"/>
            <w:szCs w:val="36"/>
            <w:highlight w:val="white"/>
            <w:rtl w:val="1"/>
          </w:rPr>
          <w:t xml:space="preserve">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ויקח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קרח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ודתן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ואבירם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׳.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מלשון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ולוקח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נפשות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שלקח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ונפש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שהגיע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שקמו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ואנשים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מבני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חמשים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ומאתים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לחלוק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ואהרן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ודתן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ואבירם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מוכח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שגם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בלוקחי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נפשות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הנפתים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ויקחו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מיבעי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ולהתבונן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ענין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הפרשה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מהליכות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המחלוקת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ומעונש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שהגיע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נשתוו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בערכם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ובכוונת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מחלוקתם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ודתן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ואבירם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רואים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לוקחי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המחתות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הנהיג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המקום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בקרח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כאשר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יבואר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להבין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גדולי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פרט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ביראת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מניעת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הכהונה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גורם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דבקות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ואהבת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כאש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בוער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בקרבם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שררה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וכבוד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המדומה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להתקדש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ולהשיג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ידעו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להרהר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אחריו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הרהרו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בלבם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רצון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ומסרו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עצמם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למסירת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ולמות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אהבת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אהבה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מבואר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במדרש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שהביא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ראה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לשטות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מחתות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החטאים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בנפשותם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שפקח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ראה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ולכאורה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מבואר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ישוב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מחתות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החטאים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[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וידעתי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דאיתא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בסנהדרין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בנפשותם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עסקי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נפשותם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שאכלו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ושתו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נפתו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שבעלי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המדרש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כיונו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].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כעין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בנזיר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שנטמא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וכפר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מאשר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חטא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וביארנו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שנצטער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מיין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להשיג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מעלת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ולהיות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קדוש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ערכו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והבחינה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נטמא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שציער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נפשו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להשיג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יכולת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להשיגה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מיקרי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חוטא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נפשו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בקשו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להשיג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מעלת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אהבת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שידעו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ינקו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ובודאי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יקוים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מיקרי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החטאים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בנפשותם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שביקשו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לאבד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נפשותם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להשיג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מעלת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האהבה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וחסידות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הרצון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ממנו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סמך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ענין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לפרשת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ציצית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שהוזהרו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חסידי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עליון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בחוט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תכלת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חסידותם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יסורו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ממצות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שביארנו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באזהרה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תתורו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סירבו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והגיע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שהגיע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והנה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לקחת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מחתות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וכדומה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ולהקריב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במשכן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הלוים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שמרו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יקרב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מוכרחים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ואהרן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ולפרוץ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גדר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הליכות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ובשביל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כיונו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נענשו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בשריפה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שיצא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ענין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שיבואר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רחוקים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מתאוה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עליונה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בטבע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בעלי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ושונאי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במצרים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כדאיתא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בנדרים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ומכש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עתה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כאשר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נגזר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עליהם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למות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לארץ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זבת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חלב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ודבש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נענשו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בבליעה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כרוח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הבהמה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אמנם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וראוי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לתאות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שזהו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מבקש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וקנאת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השררה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אכלתהו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ונענש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והיינו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שתמה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המדרש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שפיקח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נכנס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לשטות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לבקש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חסידות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רצון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הקב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כסבור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להשיג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תאות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הכבוד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לבו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בטוח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שיצא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לחיים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ראה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לבטוח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לחלוק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מבואר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בפרשת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פינחס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דתן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ואבירם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קריאי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העדה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הצו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אהרן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בעדת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בהצתם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מבואר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הצו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הצו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אהרן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ויבואר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הענין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בפסוק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1"/>
        </w:rPr>
        <w:t xml:space="preserve">והנה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ידוע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יראי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ועמוסים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בפרישות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אינם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יכולים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להצית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שנדרש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לגבב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נרגן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וכדומה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בלבבם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האמינו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במשה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ותורתו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מצאו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ידים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ידועים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לבעלי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ומדון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ושונאי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בכחם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להמשיך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הקהל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אחריהם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פתי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יסיר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דעתו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שהולכים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לבבם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הדור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בכחו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להמשיך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אחריו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שלמים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ובאשר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אורחיה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ולפתות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לקח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ומסר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דעתו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הרחבה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והמה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בשליחות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ולקחו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לבב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להמשך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נמצא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הענין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נקרא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העיקר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האמצעים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הרחיב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הפרצה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כתיב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ויקח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קרח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אחריו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ואחריהם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נמשכו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חסידי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הדור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ועליהם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נאמר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תועה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מדרך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השכל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בקהל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רפאים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ינוח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רפאים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פראים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פראים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ורפאים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עול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מלכות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שמים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ויראת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באמת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שתועה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מדרך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השכל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סופו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לנוח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בקהל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רפאים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ולהיות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אפיקורוס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ולבזות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אפיקורוס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הללו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שתעו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מדרך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השכל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ונמשכו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פרעות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דו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ובזו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ואהרן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i w:val="1"/>
          <w:color w:val="333333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elvetica Neue" w:cs="Helvetica Neue" w:eastAsia="Helvetica Neue" w:hAnsi="Helvetica Neu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1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1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1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1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1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1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efaria.org/Haamek_Davar_on_Numbers.16.1.1" TargetMode="External"/><Relationship Id="rId22" Type="http://schemas.openxmlformats.org/officeDocument/2006/relationships/hyperlink" Target="https://www.sefaria.org/Haamek_Davar_on_Numbers.16.1.1" TargetMode="External"/><Relationship Id="rId21" Type="http://schemas.openxmlformats.org/officeDocument/2006/relationships/hyperlink" Target="https://www.sefaria.org/Haamek_Davar_on_Numbers.16.1.1" TargetMode="External"/><Relationship Id="rId24" Type="http://schemas.openxmlformats.org/officeDocument/2006/relationships/hyperlink" Target="https://www.sefaria.org/Haamek_Davar_on_Numbers.16.1.1" TargetMode="External"/><Relationship Id="rId23" Type="http://schemas.openxmlformats.org/officeDocument/2006/relationships/hyperlink" Target="https://www.sefaria.org/Haamek_Davar_on_Numbers.16.1.1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sefaria.org/Numbers.16.1-13" TargetMode="External"/><Relationship Id="rId26" Type="http://schemas.openxmlformats.org/officeDocument/2006/relationships/hyperlink" Target="https://www.sefaria.org/Haamek_Davar_on_Numbers.16.1.1" TargetMode="External"/><Relationship Id="rId25" Type="http://schemas.openxmlformats.org/officeDocument/2006/relationships/hyperlink" Target="https://www.sefaria.org/Haamek_Davar_on_Numbers.16.1.1" TargetMode="External"/><Relationship Id="rId28" Type="http://schemas.openxmlformats.org/officeDocument/2006/relationships/hyperlink" Target="https://www.sefaria.org/Haamek_Davar_on_Numbers.16.1.1" TargetMode="External"/><Relationship Id="rId27" Type="http://schemas.openxmlformats.org/officeDocument/2006/relationships/hyperlink" Target="https://www.sefaria.org/Haamek_Davar_on_Numbers.16.1.1" TargetMode="External"/><Relationship Id="rId5" Type="http://schemas.openxmlformats.org/officeDocument/2006/relationships/hyperlink" Target="https://www.sefaria.org/Numbers.16.1-13" TargetMode="External"/><Relationship Id="rId6" Type="http://schemas.openxmlformats.org/officeDocument/2006/relationships/hyperlink" Target="https://www.sefaria.org/Numbers.16.1-13" TargetMode="External"/><Relationship Id="rId29" Type="http://schemas.openxmlformats.org/officeDocument/2006/relationships/hyperlink" Target="https://www.sefaria.org/Haamek_Davar_on_Numbers.16.1.1" TargetMode="External"/><Relationship Id="rId7" Type="http://schemas.openxmlformats.org/officeDocument/2006/relationships/hyperlink" Target="https://www.sefaria.org/Numbers.16.1-13" TargetMode="External"/><Relationship Id="rId8" Type="http://schemas.openxmlformats.org/officeDocument/2006/relationships/hyperlink" Target="https://www.sefaria.org/Numbers.16.1-13" TargetMode="External"/><Relationship Id="rId31" Type="http://schemas.openxmlformats.org/officeDocument/2006/relationships/hyperlink" Target="https://www.sefaria.org/Haamek_Davar_on_Numbers.16.1.1" TargetMode="External"/><Relationship Id="rId30" Type="http://schemas.openxmlformats.org/officeDocument/2006/relationships/hyperlink" Target="https://www.sefaria.org/Haamek_Davar_on_Numbers.16.1.1" TargetMode="External"/><Relationship Id="rId11" Type="http://schemas.openxmlformats.org/officeDocument/2006/relationships/hyperlink" Target="https://www.sefaria.org/Numbers.16.1-13" TargetMode="External"/><Relationship Id="rId10" Type="http://schemas.openxmlformats.org/officeDocument/2006/relationships/hyperlink" Target="https://www.sefaria.org/Numbers.16.1-13" TargetMode="External"/><Relationship Id="rId13" Type="http://schemas.openxmlformats.org/officeDocument/2006/relationships/hyperlink" Target="https://www.sefaria.org/Numbers.16.1-13" TargetMode="External"/><Relationship Id="rId12" Type="http://schemas.openxmlformats.org/officeDocument/2006/relationships/hyperlink" Target="https://www.sefaria.org/Numbers.16.1-13" TargetMode="External"/><Relationship Id="rId15" Type="http://schemas.openxmlformats.org/officeDocument/2006/relationships/hyperlink" Target="https://www.sefaria.org/Numbers.16.1-13" TargetMode="External"/><Relationship Id="rId14" Type="http://schemas.openxmlformats.org/officeDocument/2006/relationships/hyperlink" Target="https://www.sefaria.org/Numbers.16.1-13" TargetMode="External"/><Relationship Id="rId17" Type="http://schemas.openxmlformats.org/officeDocument/2006/relationships/hyperlink" Target="https://www.sefaria.org/Haamek_Davar_on_Numbers.16.1.1" TargetMode="External"/><Relationship Id="rId16" Type="http://schemas.openxmlformats.org/officeDocument/2006/relationships/hyperlink" Target="https://www.sefaria.org/Haamek_Davar_on_Numbers.16.1.1" TargetMode="External"/><Relationship Id="rId19" Type="http://schemas.openxmlformats.org/officeDocument/2006/relationships/hyperlink" Target="https://www.sefaria.org/Haamek_Davar_on_Numbers.16.1.1" TargetMode="External"/><Relationship Id="rId18" Type="http://schemas.openxmlformats.org/officeDocument/2006/relationships/hyperlink" Target="https://www.sefaria.org/Haamek_Davar_on_Numbers.16.1.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