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91EE" w14:textId="77777777" w:rsidR="006246FE" w:rsidRPr="00636FBC" w:rsidRDefault="006246FE" w:rsidP="006246FE">
      <w:pPr>
        <w:autoSpaceDE w:val="0"/>
        <w:autoSpaceDN w:val="0"/>
        <w:adjustRightInd w:val="0"/>
        <w:spacing w:after="0" w:line="240" w:lineRule="auto"/>
        <w:rPr>
          <w:rFonts w:ascii="David" w:hAnsi="David" w:cs="David"/>
          <w:rtl/>
        </w:rPr>
      </w:pPr>
      <w:r w:rsidRPr="00636FBC">
        <w:rPr>
          <w:rFonts w:ascii="David" w:hAnsi="David" w:cs="David"/>
          <w:rtl/>
        </w:rPr>
        <w:t xml:space="preserve">ב"ה   </w:t>
      </w:r>
      <w:r w:rsidRPr="00636FBC">
        <w:rPr>
          <w:rFonts w:ascii="David" w:hAnsi="David" w:cs="David"/>
          <w:rtl/>
        </w:rPr>
        <w:tab/>
      </w:r>
      <w:r w:rsidRPr="00636FBC">
        <w:rPr>
          <w:rFonts w:ascii="David" w:hAnsi="David" w:cs="David"/>
          <w:rtl/>
        </w:rPr>
        <w:tab/>
      </w:r>
      <w:r w:rsidRPr="00636FBC">
        <w:rPr>
          <w:rFonts w:ascii="David" w:hAnsi="David" w:cs="David"/>
          <w:rtl/>
        </w:rPr>
        <w:tab/>
      </w:r>
      <w:r w:rsidRPr="00636FBC">
        <w:rPr>
          <w:rFonts w:ascii="David" w:hAnsi="David" w:cs="David"/>
          <w:rtl/>
        </w:rPr>
        <w:tab/>
      </w:r>
      <w:r w:rsidRPr="00636FBC">
        <w:rPr>
          <w:rFonts w:ascii="David" w:hAnsi="David" w:cs="David"/>
          <w:rtl/>
        </w:rPr>
        <w:tab/>
      </w:r>
      <w:r w:rsidRPr="00636FBC">
        <w:rPr>
          <w:rFonts w:ascii="David" w:hAnsi="David" w:cs="David"/>
          <w:rtl/>
        </w:rPr>
        <w:tab/>
      </w:r>
      <w:r w:rsidRPr="00636FBC">
        <w:rPr>
          <w:rFonts w:ascii="David" w:hAnsi="David" w:cs="David"/>
          <w:rtl/>
        </w:rPr>
        <w:tab/>
      </w:r>
      <w:r w:rsidRPr="00636FBC">
        <w:rPr>
          <w:rFonts w:ascii="David" w:hAnsi="David" w:cs="David"/>
          <w:rtl/>
        </w:rPr>
        <w:tab/>
      </w:r>
      <w:r w:rsidRPr="00636FBC">
        <w:rPr>
          <w:rFonts w:ascii="David" w:hAnsi="David" w:cs="David"/>
          <w:rtl/>
        </w:rPr>
        <w:tab/>
      </w:r>
      <w:r w:rsidRPr="00636FBC">
        <w:rPr>
          <w:rFonts w:ascii="David" w:hAnsi="David" w:cs="David"/>
          <w:rtl/>
        </w:rPr>
        <w:tab/>
        <w:t>הרב ארי שבט</w:t>
      </w:r>
    </w:p>
    <w:p w14:paraId="1ABF33ED" w14:textId="7DE5A60B" w:rsidR="006246FE" w:rsidRPr="00636FBC" w:rsidRDefault="006246FE" w:rsidP="006246FE">
      <w:pPr>
        <w:autoSpaceDE w:val="0"/>
        <w:autoSpaceDN w:val="0"/>
        <w:adjustRightInd w:val="0"/>
        <w:spacing w:after="0" w:line="240" w:lineRule="auto"/>
        <w:jc w:val="center"/>
        <w:rPr>
          <w:rFonts w:ascii="David" w:hAnsi="David" w:cs="David"/>
          <w:b/>
          <w:bCs/>
          <w:sz w:val="32"/>
          <w:szCs w:val="32"/>
          <w:u w:val="single"/>
          <w:rtl/>
        </w:rPr>
      </w:pPr>
      <w:r w:rsidRPr="00636FBC">
        <w:rPr>
          <w:rFonts w:ascii="David" w:hAnsi="David" w:cs="David"/>
          <w:b/>
          <w:bCs/>
          <w:sz w:val="32"/>
          <w:szCs w:val="32"/>
          <w:u w:val="single"/>
          <w:rtl/>
        </w:rPr>
        <w:t xml:space="preserve">מתי להפעיל את הניסיון, השכל </w:t>
      </w:r>
      <w:r w:rsidR="00FE3A1A">
        <w:rPr>
          <w:rFonts w:ascii="David" w:hAnsi="David" w:cs="David" w:hint="cs"/>
          <w:b/>
          <w:bCs/>
          <w:sz w:val="32"/>
          <w:szCs w:val="32"/>
          <w:u w:val="single"/>
          <w:rtl/>
        </w:rPr>
        <w:t>א</w:t>
      </w:r>
      <w:r w:rsidRPr="00636FBC">
        <w:rPr>
          <w:rFonts w:ascii="David" w:hAnsi="David" w:cs="David"/>
          <w:b/>
          <w:bCs/>
          <w:sz w:val="32"/>
          <w:szCs w:val="32"/>
          <w:u w:val="single"/>
          <w:rtl/>
        </w:rPr>
        <w:t>ו</w:t>
      </w:r>
      <w:r w:rsidR="00FE3A1A">
        <w:rPr>
          <w:rFonts w:ascii="David" w:hAnsi="David" w:cs="David" w:hint="cs"/>
          <w:b/>
          <w:bCs/>
          <w:sz w:val="32"/>
          <w:szCs w:val="32"/>
          <w:u w:val="single"/>
          <w:rtl/>
        </w:rPr>
        <w:t xml:space="preserve"> </w:t>
      </w:r>
      <w:r w:rsidRPr="00636FBC">
        <w:rPr>
          <w:rFonts w:ascii="David" w:hAnsi="David" w:cs="David"/>
          <w:b/>
          <w:bCs/>
          <w:sz w:val="32"/>
          <w:szCs w:val="32"/>
          <w:u w:val="single"/>
          <w:rtl/>
        </w:rPr>
        <w:t>הקבלה</w:t>
      </w:r>
      <w:r w:rsidR="002C1862">
        <w:rPr>
          <w:rFonts w:ascii="David" w:hAnsi="David" w:cs="David" w:hint="cs"/>
          <w:b/>
          <w:bCs/>
          <w:sz w:val="32"/>
          <w:szCs w:val="32"/>
          <w:u w:val="single"/>
          <w:rtl/>
        </w:rPr>
        <w:t xml:space="preserve"> </w:t>
      </w:r>
      <w:r w:rsidR="00FE3A1A">
        <w:rPr>
          <w:rFonts w:ascii="David" w:hAnsi="David" w:cs="David" w:hint="cs"/>
          <w:b/>
          <w:bCs/>
          <w:sz w:val="32"/>
          <w:szCs w:val="32"/>
          <w:u w:val="single"/>
          <w:rtl/>
        </w:rPr>
        <w:t>בהחלטות ובלימוד</w:t>
      </w:r>
      <w:r w:rsidRPr="00636FBC">
        <w:rPr>
          <w:rFonts w:ascii="David" w:hAnsi="David" w:cs="David"/>
          <w:b/>
          <w:bCs/>
          <w:sz w:val="32"/>
          <w:szCs w:val="32"/>
          <w:u w:val="single"/>
          <w:rtl/>
        </w:rPr>
        <w:t>?</w:t>
      </w:r>
    </w:p>
    <w:p w14:paraId="3437CF95" w14:textId="1E5C1BBA" w:rsidR="006246FE" w:rsidRPr="002C1862" w:rsidRDefault="007B2E6A" w:rsidP="00F12A36">
      <w:pPr>
        <w:autoSpaceDE w:val="0"/>
        <w:autoSpaceDN w:val="0"/>
        <w:bidi w:val="0"/>
        <w:adjustRightInd w:val="0"/>
        <w:spacing w:after="0" w:line="240" w:lineRule="auto"/>
        <w:ind w:right="-291" w:hanging="284"/>
        <w:jc w:val="center"/>
        <w:rPr>
          <w:rFonts w:ascii="David" w:hAnsi="David" w:cs="David" w:hint="cs"/>
          <w:b/>
          <w:bCs/>
          <w:sz w:val="30"/>
          <w:szCs w:val="30"/>
          <w:u w:val="single"/>
          <w:rtl/>
        </w:rPr>
      </w:pPr>
      <w:r w:rsidRPr="007B2E6A">
        <w:rPr>
          <w:rFonts w:ascii="David" w:hAnsi="David" w:cs="David"/>
          <w:b/>
          <w:bCs/>
          <w:sz w:val="30"/>
          <w:szCs w:val="30"/>
          <w:u w:val="single"/>
        </w:rPr>
        <w:t>Choices: When Should We Use Experience</w:t>
      </w:r>
      <w:r w:rsidR="00AB404D">
        <w:rPr>
          <w:rFonts w:ascii="David" w:hAnsi="David" w:cs="David"/>
          <w:b/>
          <w:bCs/>
          <w:sz w:val="30"/>
          <w:szCs w:val="30"/>
          <w:u w:val="single"/>
        </w:rPr>
        <w:t xml:space="preserve">, </w:t>
      </w:r>
      <w:r w:rsidR="00AB404D" w:rsidRPr="007B2E6A">
        <w:rPr>
          <w:rFonts w:ascii="David" w:hAnsi="David" w:cs="David"/>
          <w:b/>
          <w:bCs/>
          <w:sz w:val="30"/>
          <w:szCs w:val="30"/>
          <w:u w:val="single"/>
        </w:rPr>
        <w:t>Logic</w:t>
      </w:r>
      <w:r w:rsidRPr="007B2E6A">
        <w:rPr>
          <w:rFonts w:ascii="David" w:hAnsi="David" w:cs="David"/>
          <w:b/>
          <w:bCs/>
          <w:sz w:val="30"/>
          <w:szCs w:val="30"/>
          <w:u w:val="single"/>
        </w:rPr>
        <w:t xml:space="preserve"> </w:t>
      </w:r>
      <w:r w:rsidR="00F12A36">
        <w:rPr>
          <w:rFonts w:ascii="David" w:hAnsi="David" w:cs="David"/>
          <w:b/>
          <w:bCs/>
          <w:sz w:val="30"/>
          <w:szCs w:val="30"/>
          <w:u w:val="single"/>
        </w:rPr>
        <w:t xml:space="preserve">or Kabbala </w:t>
      </w:r>
      <w:r w:rsidRPr="007B2E6A">
        <w:rPr>
          <w:rFonts w:ascii="David" w:hAnsi="David" w:cs="David"/>
          <w:b/>
          <w:bCs/>
          <w:sz w:val="30"/>
          <w:szCs w:val="30"/>
          <w:u w:val="single"/>
        </w:rPr>
        <w:t>to Decide?</w:t>
      </w:r>
    </w:p>
    <w:p w14:paraId="5C2361B7" w14:textId="77777777" w:rsidR="006246FE" w:rsidRPr="00DB4AB2" w:rsidRDefault="006246FE" w:rsidP="006246FE">
      <w:pPr>
        <w:autoSpaceDE w:val="0"/>
        <w:autoSpaceDN w:val="0"/>
        <w:adjustRightInd w:val="0"/>
        <w:spacing w:after="0" w:line="240" w:lineRule="auto"/>
        <w:rPr>
          <w:rFonts w:ascii="David" w:hAnsi="David" w:cs="David"/>
          <w:sz w:val="28"/>
          <w:szCs w:val="28"/>
          <w:rtl/>
        </w:rPr>
      </w:pPr>
    </w:p>
    <w:p w14:paraId="54689A79" w14:textId="77777777" w:rsidR="006246FE" w:rsidRPr="00DB4AB2" w:rsidRDefault="000011E6" w:rsidP="00CA4D7D">
      <w:pPr>
        <w:pStyle w:val="a3"/>
        <w:numPr>
          <w:ilvl w:val="0"/>
          <w:numId w:val="1"/>
        </w:numPr>
        <w:autoSpaceDE w:val="0"/>
        <w:autoSpaceDN w:val="0"/>
        <w:adjustRightInd w:val="0"/>
        <w:spacing w:after="0" w:line="240" w:lineRule="auto"/>
        <w:rPr>
          <w:rFonts w:ascii="David" w:hAnsi="David" w:cs="David"/>
          <w:b/>
          <w:bCs/>
          <w:sz w:val="28"/>
          <w:szCs w:val="28"/>
          <w:rtl/>
        </w:rPr>
      </w:pPr>
      <w:r w:rsidRPr="00DB4AB2">
        <w:rPr>
          <w:rFonts w:ascii="David" w:hAnsi="David" w:cs="David"/>
          <w:b/>
          <w:bCs/>
          <w:sz w:val="28"/>
          <w:szCs w:val="28"/>
          <w:rtl/>
        </w:rPr>
        <w:t>מסכת שבת,</w:t>
      </w:r>
      <w:r w:rsidR="006246FE" w:rsidRPr="00DB4AB2">
        <w:rPr>
          <w:rFonts w:ascii="David" w:hAnsi="David" w:cs="David"/>
          <w:b/>
          <w:bCs/>
          <w:sz w:val="28"/>
          <w:szCs w:val="28"/>
          <w:rtl/>
        </w:rPr>
        <w:t xml:space="preserve"> מט</w:t>
      </w:r>
      <w:r w:rsidRPr="00DB4AB2">
        <w:rPr>
          <w:rFonts w:ascii="David" w:hAnsi="David" w:cs="David"/>
          <w:b/>
          <w:bCs/>
          <w:sz w:val="28"/>
          <w:szCs w:val="28"/>
          <w:rtl/>
        </w:rPr>
        <w:t xml:space="preserve"> ע"</w:t>
      </w:r>
      <w:r w:rsidR="006246FE" w:rsidRPr="00DB4AB2">
        <w:rPr>
          <w:rFonts w:ascii="David" w:hAnsi="David" w:cs="David"/>
          <w:b/>
          <w:bCs/>
          <w:sz w:val="28"/>
          <w:szCs w:val="28"/>
          <w:rtl/>
        </w:rPr>
        <w:t>ב</w:t>
      </w:r>
    </w:p>
    <w:p w14:paraId="4BFAEA80" w14:textId="730F99FE" w:rsidR="006246FE" w:rsidRPr="00DB4AB2" w:rsidRDefault="006246FE" w:rsidP="00D61D01">
      <w:pPr>
        <w:autoSpaceDE w:val="0"/>
        <w:autoSpaceDN w:val="0"/>
        <w:adjustRightInd w:val="0"/>
        <w:spacing w:after="0" w:line="240" w:lineRule="auto"/>
        <w:rPr>
          <w:rFonts w:ascii="David" w:hAnsi="David" w:cs="David"/>
          <w:b/>
          <w:bCs/>
          <w:sz w:val="28"/>
          <w:szCs w:val="28"/>
          <w:rtl/>
        </w:rPr>
      </w:pPr>
      <w:r w:rsidRPr="00DB4AB2">
        <w:rPr>
          <w:rFonts w:ascii="David" w:hAnsi="David" w:cs="David"/>
          <w:b/>
          <w:bCs/>
          <w:sz w:val="28"/>
          <w:szCs w:val="28"/>
          <w:rtl/>
        </w:rPr>
        <w:t>הא דתנן אבות מלאכות ארבעים חסר אחת כנגד מי</w:t>
      </w:r>
      <w:r w:rsidR="000011E6" w:rsidRPr="00DB4AB2">
        <w:rPr>
          <w:rFonts w:ascii="David" w:hAnsi="David" w:cs="David"/>
          <w:b/>
          <w:bCs/>
          <w:sz w:val="28"/>
          <w:szCs w:val="28"/>
          <w:rtl/>
        </w:rPr>
        <w:t>?</w:t>
      </w:r>
      <w:r w:rsidRPr="00DB4AB2">
        <w:rPr>
          <w:rFonts w:ascii="David" w:hAnsi="David" w:cs="David"/>
          <w:b/>
          <w:bCs/>
          <w:sz w:val="28"/>
          <w:szCs w:val="28"/>
          <w:rtl/>
        </w:rPr>
        <w:t xml:space="preserve"> אמר להו ר' חנינא בר חמא כנגד עבודות המשכן</w:t>
      </w:r>
      <w:r w:rsidR="000011E6" w:rsidRPr="00DB4AB2">
        <w:rPr>
          <w:rFonts w:ascii="David" w:hAnsi="David" w:cs="David"/>
          <w:b/>
          <w:bCs/>
          <w:sz w:val="28"/>
          <w:szCs w:val="28"/>
          <w:rtl/>
        </w:rPr>
        <w:t>.</w:t>
      </w:r>
      <w:r w:rsidRPr="00DB4AB2">
        <w:rPr>
          <w:rFonts w:ascii="David" w:hAnsi="David" w:cs="David"/>
          <w:b/>
          <w:bCs/>
          <w:sz w:val="28"/>
          <w:szCs w:val="28"/>
          <w:rtl/>
        </w:rPr>
        <w:t xml:space="preserve"> אמר להו ר' יונתן בר' אלעזר כך אמר רבי שמעון ברבי יוסי בן לקוניא כנגד מלאכה מלאכתו ומלאכת שבתורה ארבעים חסר אחת</w:t>
      </w:r>
      <w:r w:rsidR="000011E6" w:rsidRPr="00DB4AB2">
        <w:rPr>
          <w:rFonts w:ascii="David" w:hAnsi="David" w:cs="David"/>
          <w:b/>
          <w:bCs/>
          <w:sz w:val="28"/>
          <w:szCs w:val="28"/>
          <w:rtl/>
        </w:rPr>
        <w:t>.</w:t>
      </w:r>
      <w:r w:rsidRPr="00DB4AB2">
        <w:rPr>
          <w:rFonts w:ascii="David" w:hAnsi="David" w:cs="David"/>
          <w:b/>
          <w:bCs/>
          <w:sz w:val="28"/>
          <w:szCs w:val="28"/>
          <w:rtl/>
        </w:rPr>
        <w:t xml:space="preserve"> בעי רב יוסף </w:t>
      </w:r>
      <w:r w:rsidR="000011E6" w:rsidRPr="00DB4AB2">
        <w:rPr>
          <w:rFonts w:ascii="David" w:hAnsi="David" w:cs="David"/>
          <w:b/>
          <w:bCs/>
          <w:sz w:val="28"/>
          <w:szCs w:val="28"/>
          <w:rtl/>
        </w:rPr>
        <w:t>'</w:t>
      </w:r>
      <w:r w:rsidRPr="00DB4AB2">
        <w:rPr>
          <w:rFonts w:ascii="David" w:hAnsi="David" w:cs="David"/>
          <w:b/>
          <w:bCs/>
          <w:sz w:val="28"/>
          <w:szCs w:val="28"/>
          <w:rtl/>
        </w:rPr>
        <w:t>ויבא הביתה לעשות מלאכתו</w:t>
      </w:r>
      <w:r w:rsidR="000011E6" w:rsidRPr="00DB4AB2">
        <w:rPr>
          <w:rFonts w:ascii="David" w:hAnsi="David" w:cs="David"/>
          <w:b/>
          <w:bCs/>
          <w:sz w:val="28"/>
          <w:szCs w:val="28"/>
          <w:rtl/>
        </w:rPr>
        <w:t>'</w:t>
      </w:r>
      <w:r w:rsidRPr="00DB4AB2">
        <w:rPr>
          <w:rFonts w:ascii="David" w:hAnsi="David" w:cs="David"/>
          <w:b/>
          <w:bCs/>
          <w:sz w:val="28"/>
          <w:szCs w:val="28"/>
          <w:rtl/>
        </w:rPr>
        <w:t xml:space="preserve"> ממנינא הוא או לא</w:t>
      </w:r>
      <w:r w:rsidR="000011E6" w:rsidRPr="00DB4AB2">
        <w:rPr>
          <w:rFonts w:ascii="David" w:hAnsi="David" w:cs="David"/>
          <w:b/>
          <w:bCs/>
          <w:sz w:val="28"/>
          <w:szCs w:val="28"/>
          <w:rtl/>
        </w:rPr>
        <w:t>?</w:t>
      </w:r>
      <w:r w:rsidRPr="00DB4AB2">
        <w:rPr>
          <w:rFonts w:ascii="David" w:hAnsi="David" w:cs="David"/>
          <w:b/>
          <w:bCs/>
          <w:sz w:val="28"/>
          <w:szCs w:val="28"/>
          <w:rtl/>
        </w:rPr>
        <w:t xml:space="preserve"> א"ל אביי וליתי ספר תורה ולימני</w:t>
      </w:r>
      <w:r w:rsidR="000011E6" w:rsidRPr="00DB4AB2">
        <w:rPr>
          <w:rFonts w:ascii="David" w:hAnsi="David" w:cs="David"/>
          <w:b/>
          <w:bCs/>
          <w:sz w:val="28"/>
          <w:szCs w:val="28"/>
          <w:rtl/>
        </w:rPr>
        <w:t>!</w:t>
      </w:r>
      <w:r w:rsidRPr="00DB4AB2">
        <w:rPr>
          <w:rFonts w:ascii="David" w:hAnsi="David" w:cs="David"/>
          <w:b/>
          <w:bCs/>
          <w:sz w:val="28"/>
          <w:szCs w:val="28"/>
          <w:rtl/>
        </w:rPr>
        <w:t xml:space="preserve"> מי לא אמר רבה בר בר חנה א"ר יוחנן לא זזו משם עד שהביאו ספר תורה ומנאום</w:t>
      </w:r>
      <w:r w:rsidR="000011E6" w:rsidRPr="00DB4AB2">
        <w:rPr>
          <w:rFonts w:ascii="David" w:hAnsi="David" w:cs="David"/>
          <w:b/>
          <w:bCs/>
          <w:sz w:val="28"/>
          <w:szCs w:val="28"/>
          <w:rtl/>
        </w:rPr>
        <w:t>.</w:t>
      </w:r>
      <w:r w:rsidRPr="00DB4AB2">
        <w:rPr>
          <w:rFonts w:ascii="David" w:hAnsi="David" w:cs="David"/>
          <w:b/>
          <w:bCs/>
          <w:sz w:val="28"/>
          <w:szCs w:val="28"/>
          <w:rtl/>
        </w:rPr>
        <w:t xml:space="preserve"> </w:t>
      </w:r>
    </w:p>
    <w:p w14:paraId="74030278" w14:textId="77777777" w:rsidR="000011E6" w:rsidRPr="00DB4AB2" w:rsidRDefault="000011E6" w:rsidP="000011E6">
      <w:pPr>
        <w:autoSpaceDE w:val="0"/>
        <w:autoSpaceDN w:val="0"/>
        <w:adjustRightInd w:val="0"/>
        <w:spacing w:after="0" w:line="240" w:lineRule="auto"/>
        <w:rPr>
          <w:rFonts w:ascii="David" w:hAnsi="David" w:cs="David"/>
          <w:sz w:val="28"/>
          <w:szCs w:val="28"/>
          <w:rtl/>
        </w:rPr>
      </w:pPr>
    </w:p>
    <w:p w14:paraId="3282AADC" w14:textId="77777777" w:rsidR="000011E6" w:rsidRPr="00DB4AB2" w:rsidRDefault="000011E6" w:rsidP="000011E6">
      <w:pPr>
        <w:pStyle w:val="a3"/>
        <w:numPr>
          <w:ilvl w:val="0"/>
          <w:numId w:val="1"/>
        </w:numPr>
        <w:autoSpaceDE w:val="0"/>
        <w:autoSpaceDN w:val="0"/>
        <w:adjustRightInd w:val="0"/>
        <w:spacing w:after="0" w:line="240" w:lineRule="auto"/>
        <w:rPr>
          <w:rFonts w:ascii="David" w:hAnsi="David" w:cs="David"/>
          <w:sz w:val="28"/>
          <w:szCs w:val="28"/>
          <w:rtl/>
        </w:rPr>
      </w:pPr>
      <w:r w:rsidRPr="00DB4AB2">
        <w:rPr>
          <w:rFonts w:ascii="David" w:hAnsi="David" w:cs="David"/>
          <w:b/>
          <w:bCs/>
          <w:sz w:val="28"/>
          <w:szCs w:val="28"/>
          <w:rtl/>
        </w:rPr>
        <w:t>עין איה / שבת ב / פרק ד, ז</w:t>
      </w:r>
      <w:r w:rsidR="002C1862" w:rsidRPr="00DB4AB2">
        <w:rPr>
          <w:rFonts w:ascii="David" w:hAnsi="David" w:cs="David" w:hint="cs"/>
          <w:b/>
          <w:bCs/>
          <w:sz w:val="28"/>
          <w:szCs w:val="28"/>
          <w:rtl/>
        </w:rPr>
        <w:t xml:space="preserve">, </w:t>
      </w:r>
      <w:r w:rsidR="002C1862" w:rsidRPr="00DB4AB2">
        <w:rPr>
          <w:rFonts w:ascii="David" w:hAnsi="David" w:cs="David" w:hint="cs"/>
          <w:sz w:val="28"/>
          <w:szCs w:val="28"/>
          <w:rtl/>
        </w:rPr>
        <w:t xml:space="preserve">על </w:t>
      </w:r>
      <w:r w:rsidRPr="00DB4AB2">
        <w:rPr>
          <w:rFonts w:ascii="David" w:hAnsi="David" w:cs="David"/>
          <w:sz w:val="28"/>
          <w:szCs w:val="28"/>
          <w:rtl/>
        </w:rPr>
        <w:t xml:space="preserve">שבת דף מט ע”ב </w:t>
      </w:r>
    </w:p>
    <w:p w14:paraId="59E177BD" w14:textId="222127BA" w:rsidR="000011E6" w:rsidRPr="00DB4AB2" w:rsidRDefault="000011E6" w:rsidP="000011E6">
      <w:pPr>
        <w:autoSpaceDE w:val="0"/>
        <w:autoSpaceDN w:val="0"/>
        <w:adjustRightInd w:val="0"/>
        <w:spacing w:after="0" w:line="240" w:lineRule="auto"/>
        <w:rPr>
          <w:rFonts w:ascii="David" w:hAnsi="David" w:cs="David"/>
          <w:sz w:val="28"/>
          <w:szCs w:val="28"/>
          <w:rtl/>
        </w:rPr>
      </w:pPr>
      <w:r w:rsidRPr="00DB4AB2">
        <w:rPr>
          <w:rFonts w:ascii="David" w:hAnsi="David" w:cs="David"/>
          <w:b/>
          <w:bCs/>
          <w:sz w:val="28"/>
          <w:szCs w:val="28"/>
          <w:rtl/>
        </w:rPr>
        <w:t>א"ל אביי, וליתי ס</w:t>
      </w:r>
      <w:r w:rsidR="00D61D01" w:rsidRPr="00DB4AB2">
        <w:rPr>
          <w:rFonts w:ascii="David" w:hAnsi="David" w:cs="David" w:hint="cs"/>
          <w:b/>
          <w:bCs/>
          <w:sz w:val="28"/>
          <w:szCs w:val="28"/>
          <w:rtl/>
        </w:rPr>
        <w:t>פר תורה</w:t>
      </w:r>
      <w:r w:rsidRPr="00DB4AB2">
        <w:rPr>
          <w:rFonts w:ascii="David" w:hAnsi="David" w:cs="David"/>
          <w:b/>
          <w:bCs/>
          <w:sz w:val="28"/>
          <w:szCs w:val="28"/>
          <w:rtl/>
        </w:rPr>
        <w:t xml:space="preserve"> ולימני, מי לא אמר רבב"ח א"ר יוחנן, לא זזו משם עד שהביאו ס"ת ומנאום. </w:t>
      </w:r>
    </w:p>
    <w:p w14:paraId="39BB61E1" w14:textId="77777777" w:rsidR="000011E6" w:rsidRPr="00DB4AB2" w:rsidRDefault="000011E6" w:rsidP="000011E6">
      <w:pPr>
        <w:autoSpaceDE w:val="0"/>
        <w:autoSpaceDN w:val="0"/>
        <w:adjustRightInd w:val="0"/>
        <w:spacing w:after="0" w:line="240" w:lineRule="auto"/>
        <w:rPr>
          <w:rFonts w:ascii="David" w:hAnsi="David" w:cs="David"/>
          <w:sz w:val="28"/>
          <w:szCs w:val="28"/>
          <w:rtl/>
        </w:rPr>
      </w:pPr>
      <w:r w:rsidRPr="00DB4AB2">
        <w:rPr>
          <w:rFonts w:ascii="David" w:hAnsi="David" w:cs="David"/>
          <w:sz w:val="28"/>
          <w:szCs w:val="28"/>
          <w:rtl/>
        </w:rPr>
        <w:t xml:space="preserve">א. שלשה הם הדרכים להתרת כל ספק: </w:t>
      </w:r>
      <w:r w:rsidRPr="00DB4AB2">
        <w:rPr>
          <w:rFonts w:ascii="David" w:hAnsi="David" w:cs="David"/>
          <w:b/>
          <w:bCs/>
          <w:sz w:val="28"/>
          <w:szCs w:val="28"/>
          <w:rtl/>
        </w:rPr>
        <w:t>הקבלה, המחקר, הניסיון</w:t>
      </w:r>
      <w:r w:rsidRPr="00DB4AB2">
        <w:rPr>
          <w:rFonts w:ascii="David" w:hAnsi="David" w:cs="David"/>
          <w:sz w:val="28"/>
          <w:szCs w:val="28"/>
          <w:rtl/>
        </w:rPr>
        <w:t xml:space="preserve">. במקום שהניסיון לא יוכל לברר לנו את שאלתנו, יבא לנו המחקר לעזרה, ויפיץ קרני אורו בדרכיו הקרובים והרחוקים, הכל לפי הנושא. ובמקום שגם המחקר יצר לו ולא יוכל להביאנו עד החוף המובטח, תופיע לנו הקבלה הנאמנה מסוד אלה על ישרים, להביע לנו חדות צפונות ופלאות חכמה. אבל </w:t>
      </w:r>
      <w:r w:rsidRPr="00DB4AB2">
        <w:rPr>
          <w:rFonts w:ascii="David" w:hAnsi="David" w:cs="David"/>
          <w:b/>
          <w:bCs/>
          <w:sz w:val="28"/>
          <w:szCs w:val="28"/>
          <w:rtl/>
        </w:rPr>
        <w:t>חלילה</w:t>
      </w:r>
      <w:r w:rsidRPr="00DB4AB2">
        <w:rPr>
          <w:rFonts w:ascii="David" w:hAnsi="David" w:cs="David"/>
          <w:sz w:val="28"/>
          <w:szCs w:val="28"/>
          <w:rtl/>
        </w:rPr>
        <w:t xml:space="preserve"> לנו להשתמש בכח צפון, בהיות לאל ידינו לחשוף את מקור ידיעתנו מכח גלוי, ע"כ לא נשית פנינו למחקר רעיוני במקום שיש לנו ברור נסיוני </w:t>
      </w:r>
      <w:r w:rsidRPr="00DB4AB2">
        <w:rPr>
          <w:rFonts w:ascii="David" w:hAnsi="David" w:cs="David"/>
          <w:b/>
          <w:bCs/>
          <w:sz w:val="28"/>
          <w:szCs w:val="28"/>
          <w:rtl/>
        </w:rPr>
        <w:t>פשוט</w:t>
      </w:r>
      <w:r w:rsidRPr="00DB4AB2">
        <w:rPr>
          <w:rFonts w:ascii="David" w:hAnsi="David" w:cs="David"/>
          <w:sz w:val="28"/>
          <w:szCs w:val="28"/>
          <w:rtl/>
        </w:rPr>
        <w:t xml:space="preserve">. ולמדנו מזה ג"כ, שלא נחדל מחקור </w:t>
      </w:r>
      <w:r w:rsidRPr="00DB4AB2">
        <w:rPr>
          <w:rFonts w:ascii="David" w:hAnsi="David" w:cs="David"/>
          <w:b/>
          <w:bCs/>
          <w:sz w:val="28"/>
          <w:szCs w:val="28"/>
          <w:rtl/>
        </w:rPr>
        <w:t>בכל דבר אשר יד מחקרנו יביאנו שמה</w:t>
      </w:r>
      <w:r w:rsidRPr="00DB4AB2">
        <w:rPr>
          <w:rFonts w:ascii="David" w:hAnsi="David" w:cs="David"/>
          <w:sz w:val="28"/>
          <w:szCs w:val="28"/>
          <w:rtl/>
        </w:rPr>
        <w:t xml:space="preserve">, כי במה שיש מקום להגיע בבטחה בכח אחד לא ניתן מאדון כל הנשמות שימוש לכח אחר בעקרו. </w:t>
      </w:r>
    </w:p>
    <w:p w14:paraId="64A6D4DF" w14:textId="77777777" w:rsidR="000011E6" w:rsidRPr="00DB4AB2" w:rsidRDefault="000011E6" w:rsidP="000011E6">
      <w:pPr>
        <w:autoSpaceDE w:val="0"/>
        <w:autoSpaceDN w:val="0"/>
        <w:adjustRightInd w:val="0"/>
        <w:spacing w:after="0" w:line="240" w:lineRule="auto"/>
        <w:rPr>
          <w:rFonts w:ascii="David" w:hAnsi="David" w:cs="David"/>
          <w:sz w:val="28"/>
          <w:szCs w:val="28"/>
          <w:rtl/>
        </w:rPr>
      </w:pPr>
      <w:r w:rsidRPr="00DB4AB2">
        <w:rPr>
          <w:rFonts w:ascii="David" w:hAnsi="David" w:cs="David"/>
          <w:sz w:val="28"/>
          <w:szCs w:val="28"/>
          <w:rtl/>
        </w:rPr>
        <w:t xml:space="preserve"> </w:t>
      </w:r>
    </w:p>
    <w:p w14:paraId="6F414A92" w14:textId="77777777" w:rsidR="000011E6" w:rsidRPr="00DB4AB2" w:rsidRDefault="000011E6" w:rsidP="000011E6">
      <w:pPr>
        <w:autoSpaceDE w:val="0"/>
        <w:autoSpaceDN w:val="0"/>
        <w:adjustRightInd w:val="0"/>
        <w:spacing w:after="0" w:line="240" w:lineRule="auto"/>
        <w:rPr>
          <w:rFonts w:ascii="David" w:hAnsi="David" w:cs="David"/>
          <w:sz w:val="28"/>
          <w:szCs w:val="28"/>
          <w:rtl/>
        </w:rPr>
      </w:pPr>
      <w:r w:rsidRPr="00DB4AB2">
        <w:rPr>
          <w:rFonts w:ascii="David" w:hAnsi="David" w:cs="David"/>
          <w:sz w:val="28"/>
          <w:szCs w:val="28"/>
          <w:rtl/>
        </w:rPr>
        <w:t xml:space="preserve">ב. אמנם הספיקות בדברי תורה המה נכבדים לנו, בין מצד עצם ידיעתם, בין מצד ההשתדלות עצמה שהם מכניסים אותנו להשתדל יותר </w:t>
      </w:r>
      <w:r w:rsidRPr="00DB4AB2">
        <w:rPr>
          <w:rFonts w:ascii="David" w:hAnsi="David" w:cs="David"/>
          <w:b/>
          <w:bCs/>
          <w:sz w:val="28"/>
          <w:szCs w:val="28"/>
          <w:rtl/>
        </w:rPr>
        <w:t>בעמלה</w:t>
      </w:r>
      <w:r w:rsidRPr="00DB4AB2">
        <w:rPr>
          <w:rFonts w:ascii="David" w:hAnsi="David" w:cs="David"/>
          <w:sz w:val="28"/>
          <w:szCs w:val="28"/>
          <w:rtl/>
        </w:rPr>
        <w:t xml:space="preserve"> של תורה. ע"כ צריכים אנחנו להזהר, לבלי נאמר, כיון שההשתדלות בעצמה היא תכלית נאה ע"כ למה נחפש לנו דרכים הקלים כדרך הניסיון, נעמיק במלאכה הכבדה של החיפוש ההגיוני, זאת היא טענה מעבר אחד. ויש מי שיוכל לטעון, כיון שטובה היא נחלת אומן ואמונת חכמים, ע"כ נבא לקבל את הפתרון בקבלה. </w:t>
      </w:r>
    </w:p>
    <w:p w14:paraId="36D6C1E5" w14:textId="77777777" w:rsidR="000011E6" w:rsidRPr="00DB4AB2" w:rsidRDefault="000011E6" w:rsidP="000011E6">
      <w:pPr>
        <w:autoSpaceDE w:val="0"/>
        <w:autoSpaceDN w:val="0"/>
        <w:adjustRightInd w:val="0"/>
        <w:spacing w:after="0" w:line="240" w:lineRule="auto"/>
        <w:rPr>
          <w:rFonts w:ascii="David" w:hAnsi="David" w:cs="David"/>
          <w:sz w:val="28"/>
          <w:szCs w:val="28"/>
          <w:rtl/>
        </w:rPr>
      </w:pPr>
    </w:p>
    <w:p w14:paraId="67D93599" w14:textId="77777777" w:rsidR="000011E6" w:rsidRPr="00DB4AB2" w:rsidRDefault="000011E6" w:rsidP="000011E6">
      <w:pPr>
        <w:autoSpaceDE w:val="0"/>
        <w:autoSpaceDN w:val="0"/>
        <w:adjustRightInd w:val="0"/>
        <w:spacing w:after="0" w:line="240" w:lineRule="auto"/>
        <w:rPr>
          <w:rFonts w:ascii="David" w:hAnsi="David" w:cs="David"/>
          <w:sz w:val="28"/>
          <w:szCs w:val="28"/>
          <w:rtl/>
        </w:rPr>
      </w:pPr>
      <w:r w:rsidRPr="00DB4AB2">
        <w:rPr>
          <w:rFonts w:ascii="David" w:hAnsi="David" w:cs="David"/>
          <w:sz w:val="28"/>
          <w:szCs w:val="28"/>
          <w:rtl/>
        </w:rPr>
        <w:t xml:space="preserve">ג. אמנם לא זה ולא זה יצדקו, כי רק במקום שאין האמת </w:t>
      </w:r>
      <w:r w:rsidRPr="00767CD6">
        <w:rPr>
          <w:rFonts w:ascii="David" w:hAnsi="David" w:cs="David"/>
          <w:b/>
          <w:bCs/>
          <w:sz w:val="28"/>
          <w:szCs w:val="28"/>
          <w:highlight w:val="yellow"/>
          <w:u w:val="single"/>
          <w:rtl/>
        </w:rPr>
        <w:t>הניסיוני</w:t>
      </w:r>
      <w:r w:rsidRPr="00DB4AB2">
        <w:rPr>
          <w:rFonts w:ascii="David" w:hAnsi="David" w:cs="David"/>
          <w:sz w:val="28"/>
          <w:szCs w:val="28"/>
          <w:rtl/>
        </w:rPr>
        <w:t xml:space="preserve"> נכון לפנינו, אז יצא פרי תועלת מההשתדלות לבקש עצה ממרחק, ואז ההשתדלות מצד עצמה </w:t>
      </w:r>
      <w:r w:rsidRPr="00DB4AB2">
        <w:rPr>
          <w:rFonts w:ascii="David" w:hAnsi="David" w:cs="David"/>
          <w:b/>
          <w:bCs/>
          <w:sz w:val="28"/>
          <w:szCs w:val="28"/>
          <w:rtl/>
        </w:rPr>
        <w:t>משובחת</w:t>
      </w:r>
      <w:r w:rsidRPr="00DB4AB2">
        <w:rPr>
          <w:rFonts w:ascii="David" w:hAnsi="David" w:cs="David"/>
          <w:sz w:val="28"/>
          <w:szCs w:val="28"/>
          <w:rtl/>
        </w:rPr>
        <w:t xml:space="preserve"> היא, וכל חכם לב יבין כי יש כאן סוד אלהי, שהשאיר עבודת עיון זאת לפרק זה ולאישים הללו. אבל כשיש מקום לבא אל המבוקש ע"י ניסיון, לא השאירה כאן העצה האלהית דרך להשפעת הרעיון מצד כח הספק, שיבא רק מרפיון ידים </w:t>
      </w:r>
      <w:r w:rsidRPr="00DB4AB2">
        <w:rPr>
          <w:rFonts w:ascii="David" w:hAnsi="David" w:cs="David"/>
          <w:b/>
          <w:bCs/>
          <w:sz w:val="28"/>
          <w:szCs w:val="28"/>
          <w:rtl/>
        </w:rPr>
        <w:t>ועצלות</w:t>
      </w:r>
      <w:r w:rsidRPr="00DB4AB2">
        <w:rPr>
          <w:rFonts w:ascii="David" w:hAnsi="David" w:cs="David"/>
          <w:sz w:val="28"/>
          <w:szCs w:val="28"/>
          <w:rtl/>
        </w:rPr>
        <w:t xml:space="preserve">. </w:t>
      </w:r>
    </w:p>
    <w:p w14:paraId="12EA0C65" w14:textId="77777777" w:rsidR="00CA4D7D" w:rsidRPr="00DB4AB2" w:rsidRDefault="00CA4D7D" w:rsidP="000011E6">
      <w:pPr>
        <w:autoSpaceDE w:val="0"/>
        <w:autoSpaceDN w:val="0"/>
        <w:adjustRightInd w:val="0"/>
        <w:spacing w:after="0" w:line="240" w:lineRule="auto"/>
        <w:rPr>
          <w:rFonts w:ascii="David" w:hAnsi="David" w:cs="David"/>
          <w:sz w:val="28"/>
          <w:szCs w:val="28"/>
          <w:rtl/>
        </w:rPr>
      </w:pPr>
    </w:p>
    <w:p w14:paraId="30544334" w14:textId="77777777" w:rsidR="00A17181" w:rsidRDefault="000011E6" w:rsidP="000011E6">
      <w:pPr>
        <w:autoSpaceDE w:val="0"/>
        <w:autoSpaceDN w:val="0"/>
        <w:adjustRightInd w:val="0"/>
        <w:spacing w:after="0" w:line="240" w:lineRule="auto"/>
        <w:rPr>
          <w:rFonts w:ascii="David" w:hAnsi="David" w:cs="David"/>
          <w:sz w:val="28"/>
          <w:szCs w:val="28"/>
          <w:rtl/>
        </w:rPr>
      </w:pPr>
      <w:r w:rsidRPr="00DB4AB2">
        <w:rPr>
          <w:rFonts w:ascii="David" w:hAnsi="David" w:cs="David"/>
          <w:sz w:val="28"/>
          <w:szCs w:val="28"/>
          <w:rtl/>
        </w:rPr>
        <w:t xml:space="preserve">ד. ע"כ, גם אם יאמר אדם להשתמש בזה בדרך המחקר, לא יצליח, והענפים השכליים שיצאו מזה לא יהיו נטועים על פלגי מי תורת אמת. ע"כ, כאשר </w:t>
      </w:r>
      <w:r w:rsidRPr="009914CF">
        <w:rPr>
          <w:rFonts w:ascii="David" w:hAnsi="David" w:cs="David"/>
          <w:b/>
          <w:bCs/>
          <w:sz w:val="28"/>
          <w:szCs w:val="28"/>
          <w:rtl/>
        </w:rPr>
        <w:t>השכל</w:t>
      </w:r>
      <w:r w:rsidRPr="00DB4AB2">
        <w:rPr>
          <w:rFonts w:ascii="David" w:hAnsi="David" w:cs="David"/>
          <w:sz w:val="28"/>
          <w:szCs w:val="28"/>
          <w:rtl/>
        </w:rPr>
        <w:t xml:space="preserve"> פועל את פעולתו במהלך תמידי, </w:t>
      </w:r>
      <w:r w:rsidRPr="00DB4AB2">
        <w:rPr>
          <w:rFonts w:ascii="David" w:hAnsi="David" w:cs="David"/>
          <w:b/>
          <w:bCs/>
          <w:sz w:val="28"/>
          <w:szCs w:val="28"/>
          <w:rtl/>
        </w:rPr>
        <w:t>אין ראוי לאחרו מאומה</w:t>
      </w:r>
      <w:r w:rsidRPr="00DB4AB2">
        <w:rPr>
          <w:rFonts w:ascii="David" w:hAnsi="David" w:cs="David"/>
          <w:sz w:val="28"/>
          <w:szCs w:val="28"/>
          <w:rtl/>
        </w:rPr>
        <w:t xml:space="preserve">, למען לא יבנה את ציוריו בין כך על יסוד רעוע, כ"א לבררו באותו הבירור המוכן לו לפי ענינו. </w:t>
      </w:r>
    </w:p>
    <w:p w14:paraId="24867ECB" w14:textId="77777777" w:rsidR="00A17181" w:rsidRDefault="00A17181" w:rsidP="000011E6">
      <w:pPr>
        <w:autoSpaceDE w:val="0"/>
        <w:autoSpaceDN w:val="0"/>
        <w:adjustRightInd w:val="0"/>
        <w:spacing w:after="0" w:line="240" w:lineRule="auto"/>
        <w:rPr>
          <w:rFonts w:ascii="David" w:hAnsi="David" w:cs="David"/>
          <w:sz w:val="28"/>
          <w:szCs w:val="28"/>
          <w:rtl/>
        </w:rPr>
      </w:pPr>
    </w:p>
    <w:p w14:paraId="37EA420E" w14:textId="590EBD5D" w:rsidR="000011E6" w:rsidRPr="00DB4AB2" w:rsidRDefault="00A17181" w:rsidP="000011E6">
      <w:pPr>
        <w:autoSpaceDE w:val="0"/>
        <w:autoSpaceDN w:val="0"/>
        <w:adjustRightInd w:val="0"/>
        <w:spacing w:after="0" w:line="240" w:lineRule="auto"/>
        <w:rPr>
          <w:rFonts w:ascii="David" w:hAnsi="David" w:cs="David"/>
          <w:sz w:val="28"/>
          <w:szCs w:val="28"/>
          <w:rtl/>
        </w:rPr>
      </w:pPr>
      <w:r>
        <w:rPr>
          <w:rFonts w:ascii="David" w:hAnsi="David" w:cs="David" w:hint="cs"/>
          <w:sz w:val="28"/>
          <w:szCs w:val="28"/>
          <w:rtl/>
        </w:rPr>
        <w:t xml:space="preserve">ה. </w:t>
      </w:r>
      <w:r w:rsidR="000011E6" w:rsidRPr="00DB4AB2">
        <w:rPr>
          <w:rFonts w:ascii="David" w:hAnsi="David" w:cs="David"/>
          <w:sz w:val="28"/>
          <w:szCs w:val="28"/>
          <w:rtl/>
        </w:rPr>
        <w:t>ע"כ, כאן ש</w:t>
      </w:r>
      <w:r w:rsidR="000011E6" w:rsidRPr="00DB4AB2">
        <w:rPr>
          <w:rFonts w:ascii="David" w:hAnsi="David" w:cs="David"/>
          <w:b/>
          <w:bCs/>
          <w:sz w:val="28"/>
          <w:szCs w:val="28"/>
          <w:rtl/>
        </w:rPr>
        <w:t>הניסיון</w:t>
      </w:r>
      <w:r w:rsidR="000011E6" w:rsidRPr="00DB4AB2">
        <w:rPr>
          <w:rFonts w:ascii="David" w:hAnsi="David" w:cs="David"/>
          <w:sz w:val="28"/>
          <w:szCs w:val="28"/>
          <w:rtl/>
        </w:rPr>
        <w:t xml:space="preserve"> יוכל לברר השאלה, </w:t>
      </w:r>
      <w:r w:rsidR="000011E6" w:rsidRPr="009914CF">
        <w:rPr>
          <w:rFonts w:ascii="David" w:hAnsi="David" w:cs="David"/>
          <w:b/>
          <w:bCs/>
          <w:sz w:val="28"/>
          <w:szCs w:val="28"/>
          <w:highlight w:val="yellow"/>
          <w:rtl/>
        </w:rPr>
        <w:t>ליתי ס"ת ולימני</w:t>
      </w:r>
      <w:r w:rsidR="000011E6" w:rsidRPr="00DB4AB2">
        <w:rPr>
          <w:rFonts w:ascii="David" w:hAnsi="David" w:cs="David"/>
          <w:sz w:val="28"/>
          <w:szCs w:val="28"/>
          <w:rtl/>
        </w:rPr>
        <w:t xml:space="preserve">, ולא תאמר אין הזמן מוכשר לעבודת ניסיון כזאת הקשה, ובין כה וכה נשתמש בדרכי </w:t>
      </w:r>
      <w:r w:rsidR="000011E6" w:rsidRPr="00DB4AB2">
        <w:rPr>
          <w:rFonts w:ascii="David" w:hAnsi="David" w:cs="David"/>
          <w:b/>
          <w:bCs/>
          <w:sz w:val="28"/>
          <w:szCs w:val="28"/>
          <w:rtl/>
        </w:rPr>
        <w:t>השערה</w:t>
      </w:r>
      <w:r w:rsidR="000011E6" w:rsidRPr="00DB4AB2">
        <w:rPr>
          <w:rFonts w:ascii="David" w:hAnsi="David" w:cs="David"/>
          <w:sz w:val="28"/>
          <w:szCs w:val="28"/>
          <w:rtl/>
        </w:rPr>
        <w:t xml:space="preserve"> ומחקרים עיוניים, לא כן שנינו, </w:t>
      </w:r>
      <w:r w:rsidR="000011E6" w:rsidRPr="009914CF">
        <w:rPr>
          <w:rFonts w:ascii="David" w:hAnsi="David" w:cs="David"/>
          <w:b/>
          <w:bCs/>
          <w:sz w:val="28"/>
          <w:szCs w:val="28"/>
          <w:highlight w:val="yellow"/>
          <w:rtl/>
        </w:rPr>
        <w:t>לא זזו משם עד שהביאו</w:t>
      </w:r>
      <w:r w:rsidR="000011E6" w:rsidRPr="00DB4AB2">
        <w:rPr>
          <w:rFonts w:ascii="David" w:hAnsi="David" w:cs="David"/>
          <w:b/>
          <w:bCs/>
          <w:sz w:val="28"/>
          <w:szCs w:val="28"/>
          <w:rtl/>
        </w:rPr>
        <w:t xml:space="preserve"> ס"ת ומנאום</w:t>
      </w:r>
      <w:r w:rsidR="000011E6" w:rsidRPr="00DB4AB2">
        <w:rPr>
          <w:rFonts w:ascii="David" w:hAnsi="David" w:cs="David"/>
          <w:sz w:val="28"/>
          <w:szCs w:val="28"/>
          <w:rtl/>
        </w:rPr>
        <w:t xml:space="preserve">, להראות חביב[ו]ת המאורע שהביא את הבירור הנסיוני הודאי, ולהורות לבל ניתן לשכל להתעסק בציורים שלא </w:t>
      </w:r>
      <w:r w:rsidR="000011E6" w:rsidRPr="00DB4AB2">
        <w:rPr>
          <w:rFonts w:ascii="David" w:hAnsi="David" w:cs="David"/>
          <w:sz w:val="28"/>
          <w:szCs w:val="28"/>
          <w:rtl/>
        </w:rPr>
        <w:lastRenderedPageBreak/>
        <w:t>נוצרו בעדו, כיון שיש ברור גלוי, "א</w:t>
      </w:r>
      <w:r w:rsidR="00F12B4E">
        <w:rPr>
          <w:rFonts w:ascii="David" w:hAnsi="David" w:cs="David" w:hint="cs"/>
          <w:sz w:val="28"/>
          <w:szCs w:val="28"/>
          <w:rtl/>
        </w:rPr>
        <w:t>ִי</w:t>
      </w:r>
      <w:r w:rsidR="000011E6" w:rsidRPr="00DB4AB2">
        <w:rPr>
          <w:rFonts w:ascii="David" w:hAnsi="David" w:cs="David"/>
          <w:sz w:val="28"/>
          <w:szCs w:val="28"/>
          <w:rtl/>
        </w:rPr>
        <w:t>מרות ד' א</w:t>
      </w:r>
      <w:r w:rsidR="00F12B4E">
        <w:rPr>
          <w:rFonts w:ascii="David" w:hAnsi="David" w:cs="David" w:hint="cs"/>
          <w:sz w:val="28"/>
          <w:szCs w:val="28"/>
          <w:rtl/>
        </w:rPr>
        <w:t>ַ</w:t>
      </w:r>
      <w:r w:rsidR="000011E6" w:rsidRPr="00DB4AB2">
        <w:rPr>
          <w:rFonts w:ascii="David" w:hAnsi="David" w:cs="David"/>
          <w:sz w:val="28"/>
          <w:szCs w:val="28"/>
          <w:rtl/>
        </w:rPr>
        <w:t>מ</w:t>
      </w:r>
      <w:r w:rsidR="00F12B4E">
        <w:rPr>
          <w:rFonts w:ascii="David" w:hAnsi="David" w:cs="David" w:hint="cs"/>
          <w:sz w:val="28"/>
          <w:szCs w:val="28"/>
          <w:rtl/>
        </w:rPr>
        <w:t>ָ</w:t>
      </w:r>
      <w:r w:rsidR="000011E6" w:rsidRPr="00DB4AB2">
        <w:rPr>
          <w:rFonts w:ascii="David" w:hAnsi="David" w:cs="David"/>
          <w:sz w:val="28"/>
          <w:szCs w:val="28"/>
          <w:rtl/>
        </w:rPr>
        <w:t xml:space="preserve">רות טהורות כסף צרוף </w:t>
      </w:r>
      <w:r w:rsidR="000011E6" w:rsidRPr="00F12B4E">
        <w:rPr>
          <w:rFonts w:ascii="David" w:hAnsi="David" w:cs="David"/>
          <w:b/>
          <w:bCs/>
          <w:sz w:val="28"/>
          <w:szCs w:val="28"/>
          <w:rtl/>
        </w:rPr>
        <w:t>בעליל לארץ</w:t>
      </w:r>
      <w:r w:rsidR="000011E6" w:rsidRPr="00DB4AB2">
        <w:rPr>
          <w:rFonts w:ascii="David" w:hAnsi="David" w:cs="David"/>
          <w:sz w:val="28"/>
          <w:szCs w:val="28"/>
          <w:rtl/>
        </w:rPr>
        <w:t xml:space="preserve">" (תהילים יב, ז). </w:t>
      </w:r>
    </w:p>
    <w:p w14:paraId="30F4D1E1" w14:textId="77777777" w:rsidR="000011E6" w:rsidRPr="00DB4AB2" w:rsidRDefault="000011E6" w:rsidP="000011E6">
      <w:pPr>
        <w:autoSpaceDE w:val="0"/>
        <w:autoSpaceDN w:val="0"/>
        <w:adjustRightInd w:val="0"/>
        <w:spacing w:after="0" w:line="240" w:lineRule="auto"/>
        <w:rPr>
          <w:rFonts w:ascii="David" w:hAnsi="David" w:cs="David"/>
          <w:sz w:val="28"/>
          <w:szCs w:val="28"/>
          <w:rtl/>
        </w:rPr>
      </w:pPr>
      <w:r w:rsidRPr="00DB4AB2">
        <w:rPr>
          <w:rFonts w:ascii="David" w:hAnsi="David" w:cs="David"/>
          <w:sz w:val="28"/>
          <w:szCs w:val="28"/>
          <w:rtl/>
        </w:rPr>
        <w:t xml:space="preserve"> </w:t>
      </w:r>
    </w:p>
    <w:p w14:paraId="1F963DF9" w14:textId="3D28EF2D" w:rsidR="001E1F5B" w:rsidRPr="00DB4AB2" w:rsidRDefault="00CA4D7D" w:rsidP="001E1F5B">
      <w:pPr>
        <w:autoSpaceDE w:val="0"/>
        <w:autoSpaceDN w:val="0"/>
        <w:adjustRightInd w:val="0"/>
        <w:rPr>
          <w:rFonts w:ascii="David" w:hAnsi="David" w:cs="David"/>
          <w:b/>
          <w:bCs/>
          <w:sz w:val="28"/>
          <w:szCs w:val="28"/>
          <w:rtl/>
        </w:rPr>
      </w:pPr>
      <w:r w:rsidRPr="00DB4AB2">
        <w:rPr>
          <w:rFonts w:ascii="David" w:hAnsi="David" w:cs="David" w:hint="cs"/>
          <w:b/>
          <w:bCs/>
          <w:sz w:val="28"/>
          <w:szCs w:val="28"/>
          <w:rtl/>
        </w:rPr>
        <w:t>3.</w:t>
      </w:r>
      <w:r w:rsidR="000011E6" w:rsidRPr="00DB4AB2">
        <w:rPr>
          <w:rFonts w:ascii="David" w:hAnsi="David" w:cs="David"/>
          <w:b/>
          <w:bCs/>
          <w:sz w:val="28"/>
          <w:szCs w:val="28"/>
          <w:rtl/>
        </w:rPr>
        <w:t xml:space="preserve"> </w:t>
      </w:r>
      <w:r w:rsidR="001E1F5B" w:rsidRPr="00DB4AB2">
        <w:rPr>
          <w:rFonts w:ascii="David" w:hAnsi="David" w:cs="David" w:hint="cs"/>
          <w:b/>
          <w:bCs/>
          <w:sz w:val="28"/>
          <w:szCs w:val="28"/>
          <w:rtl/>
        </w:rPr>
        <w:t xml:space="preserve">הר"י קארו, </w:t>
      </w:r>
      <w:r w:rsidR="001E1F5B" w:rsidRPr="00DB4AB2">
        <w:rPr>
          <w:rFonts w:ascii="David" w:hAnsi="David" w:cs="David"/>
          <w:b/>
          <w:bCs/>
          <w:sz w:val="28"/>
          <w:szCs w:val="28"/>
          <w:rtl/>
        </w:rPr>
        <w:t>שולחן ערוך אורח חיים הלכות קריאת ספר תורה</w:t>
      </w:r>
      <w:r w:rsidR="001E1F5B" w:rsidRPr="00DB4AB2">
        <w:rPr>
          <w:rFonts w:ascii="David" w:hAnsi="David" w:cs="David" w:hint="cs"/>
          <w:b/>
          <w:bCs/>
          <w:sz w:val="28"/>
          <w:szCs w:val="28"/>
          <w:rtl/>
        </w:rPr>
        <w:t>,</w:t>
      </w:r>
      <w:r w:rsidR="001E1F5B" w:rsidRPr="00DB4AB2">
        <w:rPr>
          <w:rFonts w:ascii="David" w:hAnsi="David" w:cs="David"/>
          <w:b/>
          <w:bCs/>
          <w:sz w:val="28"/>
          <w:szCs w:val="28"/>
          <w:rtl/>
        </w:rPr>
        <w:t xml:space="preserve"> קלט</w:t>
      </w:r>
      <w:r w:rsidR="001E1F5B" w:rsidRPr="00DB4AB2">
        <w:rPr>
          <w:rFonts w:ascii="David" w:hAnsi="David" w:cs="David" w:hint="cs"/>
          <w:b/>
          <w:bCs/>
          <w:sz w:val="28"/>
          <w:szCs w:val="28"/>
          <w:rtl/>
        </w:rPr>
        <w:t>, י</w:t>
      </w:r>
    </w:p>
    <w:p w14:paraId="6A029DAD" w14:textId="6416EDAB" w:rsidR="001E1F5B" w:rsidRPr="00DB4AB2" w:rsidRDefault="001E1F5B" w:rsidP="001E1F5B">
      <w:pPr>
        <w:autoSpaceDE w:val="0"/>
        <w:autoSpaceDN w:val="0"/>
        <w:adjustRightInd w:val="0"/>
        <w:rPr>
          <w:rFonts w:ascii="David" w:hAnsi="David" w:cs="David"/>
          <w:bCs/>
          <w:sz w:val="28"/>
          <w:szCs w:val="28"/>
          <w:rtl/>
        </w:rPr>
      </w:pPr>
      <w:r w:rsidRPr="00DB4AB2">
        <w:rPr>
          <w:rFonts w:ascii="David" w:hAnsi="David" w:cs="David"/>
          <w:sz w:val="28"/>
          <w:szCs w:val="28"/>
          <w:rtl/>
        </w:rPr>
        <w:t xml:space="preserve">ברכה אחרונה: אשר נתן לנו תורת אמת, זו תורה שבכתב; וחיי העולם </w:t>
      </w:r>
      <w:r w:rsidRPr="00DB4AB2">
        <w:rPr>
          <w:rFonts w:ascii="David" w:hAnsi="David" w:cs="David"/>
          <w:b/>
          <w:bCs/>
          <w:sz w:val="28"/>
          <w:szCs w:val="28"/>
          <w:rtl/>
        </w:rPr>
        <w:t>נטע בתוכנו</w:t>
      </w:r>
      <w:r w:rsidRPr="00DB4AB2">
        <w:rPr>
          <w:rFonts w:ascii="David" w:hAnsi="David" w:cs="David"/>
          <w:sz w:val="28"/>
          <w:szCs w:val="28"/>
          <w:rtl/>
        </w:rPr>
        <w:t>, הוא תורה שבע"פ.</w:t>
      </w:r>
    </w:p>
    <w:p w14:paraId="6D7CFAF3" w14:textId="77777777" w:rsidR="00DB4AB2" w:rsidRPr="00DB4AB2" w:rsidRDefault="00703258" w:rsidP="00DB4AB2">
      <w:pPr>
        <w:autoSpaceDE w:val="0"/>
        <w:autoSpaceDN w:val="0"/>
        <w:adjustRightInd w:val="0"/>
        <w:rPr>
          <w:rFonts w:ascii="David" w:hAnsi="David" w:cs="David"/>
          <w:bCs/>
          <w:sz w:val="28"/>
          <w:szCs w:val="28"/>
          <w:rtl/>
        </w:rPr>
      </w:pPr>
      <w:r w:rsidRPr="00DB4AB2">
        <w:rPr>
          <w:rFonts w:ascii="David" w:hAnsi="David" w:cs="David" w:hint="cs"/>
          <w:bCs/>
          <w:sz w:val="28"/>
          <w:szCs w:val="28"/>
          <w:rtl/>
        </w:rPr>
        <w:t>4.</w:t>
      </w:r>
      <w:r w:rsidR="00DB4AB2">
        <w:rPr>
          <w:rFonts w:ascii="David" w:hAnsi="David" w:cs="David" w:hint="cs"/>
          <w:bCs/>
          <w:sz w:val="28"/>
          <w:szCs w:val="28"/>
          <w:rtl/>
        </w:rPr>
        <w:t xml:space="preserve"> </w:t>
      </w:r>
      <w:r w:rsidR="00DB4AB2" w:rsidRPr="00DB4AB2">
        <w:rPr>
          <w:rFonts w:ascii="David" w:hAnsi="David" w:cs="David"/>
          <w:bCs/>
          <w:sz w:val="28"/>
          <w:szCs w:val="28"/>
          <w:rtl/>
        </w:rPr>
        <w:t>רמב"ם הלכות תמורה פרק ד</w:t>
      </w:r>
    </w:p>
    <w:p w14:paraId="68FC8D11" w14:textId="70925203" w:rsidR="00DB4AB2" w:rsidRPr="00DB4AB2" w:rsidRDefault="00DB4AB2" w:rsidP="00DB4AB2">
      <w:pPr>
        <w:autoSpaceDE w:val="0"/>
        <w:autoSpaceDN w:val="0"/>
        <w:adjustRightInd w:val="0"/>
        <w:rPr>
          <w:rFonts w:ascii="David" w:hAnsi="David" w:cs="David"/>
          <w:b/>
          <w:sz w:val="28"/>
          <w:szCs w:val="28"/>
          <w:rtl/>
        </w:rPr>
      </w:pPr>
      <w:r w:rsidRPr="00DB4AB2">
        <w:rPr>
          <w:rFonts w:ascii="David" w:hAnsi="David" w:cs="David"/>
          <w:b/>
          <w:sz w:val="28"/>
          <w:szCs w:val="28"/>
          <w:rtl/>
        </w:rPr>
        <w:t xml:space="preserve">אף על פי שכל חוקי התורה גזירות הם כמו שביארנו בסוף מעילה, ראוי להתבונן בהן וכל מה שאתה יכול ליתן לו </w:t>
      </w:r>
      <w:r w:rsidRPr="00DB4AB2">
        <w:rPr>
          <w:rFonts w:ascii="David" w:hAnsi="David" w:cs="David"/>
          <w:bCs/>
          <w:sz w:val="28"/>
          <w:szCs w:val="28"/>
          <w:rtl/>
        </w:rPr>
        <w:t>טעם תן לו טעם</w:t>
      </w:r>
      <w:r w:rsidRPr="00DB4AB2">
        <w:rPr>
          <w:rFonts w:ascii="David" w:hAnsi="David" w:cs="David"/>
          <w:b/>
          <w:sz w:val="28"/>
          <w:szCs w:val="28"/>
          <w:rtl/>
        </w:rPr>
        <w:t>, הרי אמרו חכמים הראשונים שהמלך שלמה הבין רוב הטעמים של כל חוקי התורה, יראה לי שזה שאמר הכתוב והיה הוא ותמורתו יהיה קדש, כענין שאמר ואם המקדיש יגאל את ביתו ויסף חמישית כסף ערכך עליו, ירדה תורה לסוף מחשבת האדם וקצת יצרו הרע, שטבע של אדם נוטה להרבות קניינו ולחוס על ממונו ואף על פי שנדר והקדיש אפשר שחזר בו וניחם ויפדה בפחות משוויו אמרה תורה אם פדה לעצמו יוסיף חומש, וכן אם הקדיש בהמה קדושת הגוף שמא יחזור בו וכיון שאינו יכול לפדותה יחליפנה בפחותה ממנה</w:t>
      </w:r>
      <w:r>
        <w:rPr>
          <w:rFonts w:ascii="David" w:hAnsi="David" w:cs="David" w:hint="cs"/>
          <w:b/>
          <w:sz w:val="28"/>
          <w:szCs w:val="28"/>
          <w:rtl/>
        </w:rPr>
        <w:t>.</w:t>
      </w:r>
    </w:p>
    <w:p w14:paraId="116A1D6F" w14:textId="713C711E" w:rsidR="00F12B4E" w:rsidRDefault="00DB4AB2" w:rsidP="00CA4D7D">
      <w:pPr>
        <w:autoSpaceDE w:val="0"/>
        <w:autoSpaceDN w:val="0"/>
        <w:adjustRightInd w:val="0"/>
        <w:rPr>
          <w:rFonts w:ascii="David" w:hAnsi="David" w:cs="David"/>
          <w:bCs/>
          <w:sz w:val="28"/>
          <w:szCs w:val="28"/>
          <w:rtl/>
        </w:rPr>
      </w:pPr>
      <w:r>
        <w:rPr>
          <w:rFonts w:ascii="David" w:hAnsi="David" w:cs="David" w:hint="cs"/>
          <w:bCs/>
          <w:sz w:val="28"/>
          <w:szCs w:val="28"/>
          <w:rtl/>
        </w:rPr>
        <w:t>5.</w:t>
      </w:r>
      <w:r w:rsidR="00703258" w:rsidRPr="00DB4AB2">
        <w:rPr>
          <w:rFonts w:ascii="David" w:hAnsi="David" w:cs="David" w:hint="cs"/>
          <w:bCs/>
          <w:sz w:val="28"/>
          <w:szCs w:val="28"/>
          <w:rtl/>
        </w:rPr>
        <w:t xml:space="preserve"> </w:t>
      </w:r>
      <w:r w:rsidR="00F12B4E">
        <w:rPr>
          <w:rFonts w:ascii="David" w:hAnsi="David" w:cs="David" w:hint="cs"/>
          <w:bCs/>
          <w:sz w:val="24"/>
          <w:szCs w:val="24"/>
          <w:rtl/>
        </w:rPr>
        <w:t>הראי"ה, "</w:t>
      </w:r>
      <w:r w:rsidR="00F12B4E" w:rsidRPr="00460980">
        <w:rPr>
          <w:rFonts w:ascii="David" w:hAnsi="David" w:cs="David"/>
          <w:bCs/>
          <w:sz w:val="24"/>
          <w:szCs w:val="24"/>
          <w:rtl/>
        </w:rPr>
        <w:t>חזון הצמחונות והשלום</w:t>
      </w:r>
      <w:r w:rsidR="00F12B4E">
        <w:rPr>
          <w:rFonts w:ascii="David" w:hAnsi="David" w:cs="David" w:hint="cs"/>
          <w:bCs/>
          <w:sz w:val="24"/>
          <w:szCs w:val="24"/>
          <w:rtl/>
        </w:rPr>
        <w:t>",</w:t>
      </w:r>
      <w:r w:rsidR="00F12B4E" w:rsidRPr="00460980">
        <w:rPr>
          <w:rFonts w:ascii="David" w:hAnsi="David" w:cs="David"/>
          <w:bCs/>
          <w:sz w:val="24"/>
          <w:szCs w:val="24"/>
          <w:rtl/>
        </w:rPr>
        <w:t xml:space="preserve"> אפיקים בנגב (פרק ו')</w:t>
      </w:r>
      <w:r w:rsidR="00F12B4E">
        <w:rPr>
          <w:rFonts w:ascii="David" w:hAnsi="David" w:cs="David" w:hint="cs"/>
          <w:bCs/>
          <w:sz w:val="24"/>
          <w:szCs w:val="24"/>
          <w:rtl/>
        </w:rPr>
        <w:t>,</w:t>
      </w:r>
      <w:r w:rsidR="00F12B4E" w:rsidRPr="00460980">
        <w:rPr>
          <w:rFonts w:ascii="David" w:hAnsi="David" w:cs="David"/>
          <w:bCs/>
          <w:sz w:val="24"/>
          <w:szCs w:val="24"/>
          <w:rtl/>
        </w:rPr>
        <w:t xml:space="preserve"> ו. ההיתר בשעת הנפילה המוסרית</w:t>
      </w:r>
    </w:p>
    <w:p w14:paraId="7614312D" w14:textId="1C10702E" w:rsidR="00F12B4E" w:rsidRPr="00F12B4E" w:rsidRDefault="00F12B4E" w:rsidP="00CA4D7D">
      <w:pPr>
        <w:autoSpaceDE w:val="0"/>
        <w:autoSpaceDN w:val="0"/>
        <w:adjustRightInd w:val="0"/>
        <w:rPr>
          <w:rFonts w:ascii="David" w:hAnsi="David" w:cs="David"/>
          <w:b/>
          <w:sz w:val="28"/>
          <w:szCs w:val="28"/>
          <w:rtl/>
        </w:rPr>
      </w:pPr>
      <w:r w:rsidRPr="00F12B4E">
        <w:rPr>
          <w:rFonts w:ascii="David" w:hAnsi="David" w:cs="David"/>
          <w:b/>
          <w:sz w:val="28"/>
          <w:szCs w:val="28"/>
          <w:rtl/>
        </w:rPr>
        <w:t>וכמשפט כל מי שקופץ ליטול את השם להתחסד במרת חסידות הבלתי הולמתו, שאינה מביאה לו כ"א ערבוביא בדעותיו והליכות חייו, כן הוא משפט האדם בכללו</w:t>
      </w:r>
      <w:r>
        <w:rPr>
          <w:rFonts w:ascii="David" w:hAnsi="David" w:cs="David" w:hint="cs"/>
          <w:b/>
          <w:sz w:val="28"/>
          <w:szCs w:val="28"/>
          <w:rtl/>
        </w:rPr>
        <w:t>...</w:t>
      </w:r>
    </w:p>
    <w:p w14:paraId="076329FF" w14:textId="77777777" w:rsidR="00F12B4E" w:rsidRDefault="00F12B4E" w:rsidP="00CA4D7D">
      <w:pPr>
        <w:autoSpaceDE w:val="0"/>
        <w:autoSpaceDN w:val="0"/>
        <w:adjustRightInd w:val="0"/>
        <w:rPr>
          <w:rFonts w:ascii="David" w:hAnsi="David" w:cs="David"/>
          <w:bCs/>
          <w:sz w:val="28"/>
          <w:szCs w:val="28"/>
          <w:rtl/>
        </w:rPr>
      </w:pPr>
    </w:p>
    <w:p w14:paraId="3B246075" w14:textId="7671D40D" w:rsidR="00CA4D7D" w:rsidRPr="00DB4AB2" w:rsidRDefault="00F12B4E" w:rsidP="00CA4D7D">
      <w:pPr>
        <w:autoSpaceDE w:val="0"/>
        <w:autoSpaceDN w:val="0"/>
        <w:adjustRightInd w:val="0"/>
        <w:rPr>
          <w:rFonts w:ascii="David" w:hAnsi="David" w:cs="David"/>
          <w:sz w:val="28"/>
          <w:szCs w:val="28"/>
          <w:rtl/>
        </w:rPr>
      </w:pPr>
      <w:r>
        <w:rPr>
          <w:rFonts w:ascii="David" w:hAnsi="David" w:cs="David" w:hint="cs"/>
          <w:bCs/>
          <w:sz w:val="28"/>
          <w:szCs w:val="28"/>
          <w:rtl/>
        </w:rPr>
        <w:t xml:space="preserve">6. </w:t>
      </w:r>
      <w:r w:rsidR="00636FBC" w:rsidRPr="00DB4AB2">
        <w:rPr>
          <w:rFonts w:ascii="David" w:hAnsi="David" w:cs="David"/>
          <w:bCs/>
          <w:sz w:val="28"/>
          <w:szCs w:val="28"/>
          <w:rtl/>
        </w:rPr>
        <w:t>הראי"ה קוק, שבת הארץ / מבוא / [טו]</w:t>
      </w:r>
      <w:r w:rsidR="00636FBC" w:rsidRPr="00DB4AB2">
        <w:rPr>
          <w:rFonts w:ascii="David" w:hAnsi="David" w:cs="David"/>
          <w:bCs/>
          <w:sz w:val="28"/>
          <w:szCs w:val="28"/>
        </w:rPr>
        <w:t xml:space="preserve"> </w:t>
      </w:r>
      <w:r w:rsidR="00636FBC" w:rsidRPr="00DB4AB2">
        <w:rPr>
          <w:rFonts w:ascii="David" w:hAnsi="David" w:cs="David"/>
          <w:sz w:val="28"/>
          <w:szCs w:val="28"/>
          <w:rtl/>
        </w:rPr>
        <w:t xml:space="preserve"> </w:t>
      </w:r>
    </w:p>
    <w:p w14:paraId="7D95396C" w14:textId="77777777" w:rsidR="000011E6" w:rsidRPr="00DB4AB2" w:rsidRDefault="00636FBC" w:rsidP="00CA4D7D">
      <w:pPr>
        <w:autoSpaceDE w:val="0"/>
        <w:autoSpaceDN w:val="0"/>
        <w:adjustRightInd w:val="0"/>
        <w:rPr>
          <w:rFonts w:ascii="David" w:hAnsi="David" w:cs="David" w:hint="cs"/>
          <w:sz w:val="28"/>
          <w:szCs w:val="28"/>
          <w:rtl/>
        </w:rPr>
      </w:pPr>
      <w:r w:rsidRPr="00DB4AB2">
        <w:rPr>
          <w:rFonts w:ascii="David" w:hAnsi="David" w:cs="David"/>
          <w:sz w:val="28"/>
          <w:szCs w:val="28"/>
          <w:rtl/>
        </w:rPr>
        <w:t xml:space="preserve">ארץ-ישראל דומה לתלמוד-תורה: ותלמוד-תורה, אע"פ שהוא מביא לידי המצוות כולן, מכל-מקום </w:t>
      </w:r>
      <w:r w:rsidRPr="00DB4AB2">
        <w:rPr>
          <w:rFonts w:ascii="David" w:hAnsi="David" w:cs="David"/>
          <w:b/>
          <w:bCs/>
          <w:sz w:val="28"/>
          <w:szCs w:val="28"/>
          <w:rtl/>
        </w:rPr>
        <w:t>חלילה לומר, שערכה של תורה איננו כ"א הכשר למעשה המצוות</w:t>
      </w:r>
      <w:r w:rsidRPr="00DB4AB2">
        <w:rPr>
          <w:rFonts w:ascii="David" w:hAnsi="David" w:cs="David"/>
          <w:sz w:val="28"/>
          <w:szCs w:val="28"/>
          <w:rtl/>
        </w:rPr>
        <w:t xml:space="preserve">, אבל היא עליונה וחשובה בקדושתה </w:t>
      </w:r>
      <w:r w:rsidRPr="00DB4AB2">
        <w:rPr>
          <w:rFonts w:ascii="David" w:hAnsi="David" w:cs="David"/>
          <w:b/>
          <w:bCs/>
          <w:sz w:val="28"/>
          <w:szCs w:val="28"/>
          <w:rtl/>
        </w:rPr>
        <w:t>בפני עצמה</w:t>
      </w:r>
      <w:r w:rsidRPr="00DB4AB2">
        <w:rPr>
          <w:rFonts w:ascii="David" w:hAnsi="David" w:cs="David"/>
          <w:sz w:val="28"/>
          <w:szCs w:val="28"/>
          <w:rtl/>
        </w:rPr>
        <w:t xml:space="preserve">, עד שאפילו </w:t>
      </w:r>
      <w:r w:rsidRPr="00767CD6">
        <w:rPr>
          <w:rFonts w:ascii="David" w:hAnsi="David" w:cs="David"/>
          <w:b/>
          <w:bCs/>
          <w:sz w:val="28"/>
          <w:szCs w:val="28"/>
          <w:u w:val="single"/>
          <w:rtl/>
        </w:rPr>
        <w:t>כשלומדין מה שאי אפשר לקיים</w:t>
      </w:r>
      <w:r w:rsidRPr="00DB4AB2">
        <w:rPr>
          <w:rFonts w:ascii="David" w:hAnsi="David" w:cs="David"/>
          <w:sz w:val="28"/>
          <w:szCs w:val="28"/>
          <w:rtl/>
        </w:rPr>
        <w:t xml:space="preserve"> כלל אין שיעור למעלת הלימוד ההוא, ועוד הוא גדול באיזה פנים מן הלימוד שאפשר לקיימו במעשה, שהרי זה נחשב ג"כ עשיה, כדאמרינן (מנחות ק"י א); "כל העוסק בתורת חטאת כאילו הקריב חטאת וכל העוסק בתורת אשם כאילו הקריב אשם", ואין שיעור למעלת התורה של הלימוד בדברים שאין להם שום יחש לעניני מעשים, כי היא בעצמה עליונה מכל; אלא </w:t>
      </w:r>
      <w:r w:rsidRPr="00DB4AB2">
        <w:rPr>
          <w:rFonts w:ascii="David" w:hAnsi="David" w:cs="David"/>
          <w:b/>
          <w:bCs/>
          <w:sz w:val="28"/>
          <w:szCs w:val="28"/>
          <w:rtl/>
        </w:rPr>
        <w:t>שבכלל גודל מעלתה</w:t>
      </w:r>
      <w:r w:rsidRPr="00DB4AB2">
        <w:rPr>
          <w:rFonts w:ascii="David" w:hAnsi="David" w:cs="David"/>
          <w:sz w:val="28"/>
          <w:szCs w:val="28"/>
          <w:rtl/>
        </w:rPr>
        <w:t xml:space="preserve"> כלולה גם מעלה זו שהיא </w:t>
      </w:r>
      <w:r w:rsidRPr="00DB4AB2">
        <w:rPr>
          <w:rFonts w:ascii="David" w:hAnsi="David" w:cs="David"/>
          <w:b/>
          <w:bCs/>
          <w:sz w:val="28"/>
          <w:szCs w:val="28"/>
          <w:rtl/>
        </w:rPr>
        <w:t>מביאה לידי מעשה</w:t>
      </w:r>
      <w:r w:rsidRPr="00DB4AB2">
        <w:rPr>
          <w:rFonts w:ascii="David" w:hAnsi="David" w:cs="David"/>
          <w:sz w:val="28"/>
          <w:szCs w:val="28"/>
          <w:rtl/>
        </w:rPr>
        <w:t>. - כמו כן היא קדושת ארץ ישראל, אע"פ שבקדושתה היא מביאה אותנו גם בחורבנה לידי כמה מצוות, שאין לנו דוגמתן בחוץ- לארץ, וק"ו בבנינה... מ"מ לא זה הוא כל עיקר מעלתה</w:t>
      </w:r>
      <w:r w:rsidRPr="00DB4AB2">
        <w:rPr>
          <w:rFonts w:ascii="David" w:hAnsi="David" w:cs="David"/>
          <w:sz w:val="28"/>
          <w:szCs w:val="28"/>
        </w:rPr>
        <w:t>…</w:t>
      </w:r>
      <w:r w:rsidRPr="00DB4AB2">
        <w:rPr>
          <w:rFonts w:ascii="David" w:hAnsi="David" w:cs="David"/>
          <w:sz w:val="28"/>
          <w:szCs w:val="28"/>
          <w:rtl/>
        </w:rPr>
        <w:t>כי עצם ישיבת א"י מצד עצמה שקולה היא נגד כל המצות שבתורה</w:t>
      </w:r>
      <w:r w:rsidRPr="00DB4AB2">
        <w:rPr>
          <w:rFonts w:ascii="David" w:hAnsi="David" w:cs="David"/>
          <w:sz w:val="28"/>
          <w:szCs w:val="28"/>
        </w:rPr>
        <w:t>…</w:t>
      </w:r>
      <w:r w:rsidRPr="00DB4AB2">
        <w:rPr>
          <w:rFonts w:ascii="David" w:hAnsi="David" w:cs="David"/>
          <w:sz w:val="28"/>
          <w:szCs w:val="28"/>
          <w:rtl/>
        </w:rPr>
        <w:t xml:space="preserve"> ואינה רק הכשר לקיום המצות... וכן בספר כפתור-ופרח (פרק י') האריך בטוב-טעם לבאר, שקדושת א"י היא מעלה בפני עצמה חוץ מקדושת המצוות התלויות בארץ, אלא שמצורף לזה היא מעוטרת, מפני יקרת מעלתה ושלמות ישראל התלויה דוקא בה, - במצוות רבות התלויות בארץ. וכתב שם: "וכן יעקב אבינו ויוסף הצדיק ומשה כולם היו משתוקקים </w:t>
      </w:r>
      <w:r w:rsidR="0021458D" w:rsidRPr="00DB4AB2">
        <w:rPr>
          <w:rFonts w:ascii="David" w:hAnsi="David" w:cs="David"/>
          <w:b/>
          <w:bCs/>
          <w:sz w:val="28"/>
          <w:szCs w:val="28"/>
          <w:rtl/>
        </w:rPr>
        <w:t>להקבר בא</w:t>
      </w:r>
      <w:r w:rsidR="0021458D" w:rsidRPr="00DB4AB2">
        <w:rPr>
          <w:rFonts w:ascii="David" w:hAnsi="David" w:cs="David" w:hint="cs"/>
          <w:b/>
          <w:bCs/>
          <w:sz w:val="28"/>
          <w:szCs w:val="28"/>
          <w:rtl/>
        </w:rPr>
        <w:t>רץ ישראל</w:t>
      </w:r>
      <w:r w:rsidRPr="00DB4AB2">
        <w:rPr>
          <w:rFonts w:ascii="David" w:hAnsi="David" w:cs="David"/>
          <w:sz w:val="28"/>
          <w:szCs w:val="28"/>
          <w:rtl/>
        </w:rPr>
        <w:t xml:space="preserve"> בהיותם חוצה לארץ, ואע"פ שעדיין לא נכבשה</w:t>
      </w:r>
      <w:r w:rsidRPr="00DB4AB2">
        <w:rPr>
          <w:rFonts w:ascii="David" w:hAnsi="David" w:cs="David"/>
          <w:sz w:val="28"/>
          <w:szCs w:val="28"/>
        </w:rPr>
        <w:t>.</w:t>
      </w:r>
    </w:p>
    <w:sectPr w:rsidR="000011E6" w:rsidRPr="00DB4AB2" w:rsidSect="006F3590">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CB73" w14:textId="77777777" w:rsidR="0028288A" w:rsidRDefault="0028288A" w:rsidP="005B5B95">
      <w:pPr>
        <w:spacing w:after="0" w:line="240" w:lineRule="auto"/>
      </w:pPr>
      <w:r>
        <w:separator/>
      </w:r>
    </w:p>
  </w:endnote>
  <w:endnote w:type="continuationSeparator" w:id="0">
    <w:p w14:paraId="6FC2B2C6" w14:textId="77777777" w:rsidR="0028288A" w:rsidRDefault="0028288A" w:rsidP="005B5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82690015"/>
      <w:docPartObj>
        <w:docPartGallery w:val="Page Numbers (Bottom of Page)"/>
        <w:docPartUnique/>
      </w:docPartObj>
    </w:sdtPr>
    <w:sdtContent>
      <w:p w14:paraId="777C95DE" w14:textId="004B527E" w:rsidR="005B5B95" w:rsidRDefault="005B5B95">
        <w:pPr>
          <w:pStyle w:val="a6"/>
          <w:jc w:val="center"/>
        </w:pPr>
        <w:r>
          <w:fldChar w:fldCharType="begin"/>
        </w:r>
        <w:r>
          <w:instrText>PAGE   \* MERGEFORMAT</w:instrText>
        </w:r>
        <w:r>
          <w:fldChar w:fldCharType="separate"/>
        </w:r>
        <w:r>
          <w:rPr>
            <w:rtl/>
            <w:lang w:val="he-IL"/>
          </w:rPr>
          <w:t>2</w:t>
        </w:r>
        <w:r>
          <w:fldChar w:fldCharType="end"/>
        </w:r>
      </w:p>
    </w:sdtContent>
  </w:sdt>
  <w:p w14:paraId="6DCF03BA" w14:textId="77777777" w:rsidR="005B5B95" w:rsidRDefault="005B5B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A2E8" w14:textId="77777777" w:rsidR="0028288A" w:rsidRDefault="0028288A" w:rsidP="005B5B95">
      <w:pPr>
        <w:spacing w:after="0" w:line="240" w:lineRule="auto"/>
      </w:pPr>
      <w:r>
        <w:separator/>
      </w:r>
    </w:p>
  </w:footnote>
  <w:footnote w:type="continuationSeparator" w:id="0">
    <w:p w14:paraId="05F3D0CE" w14:textId="77777777" w:rsidR="0028288A" w:rsidRDefault="0028288A" w:rsidP="005B5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9697D"/>
    <w:multiLevelType w:val="hybridMultilevel"/>
    <w:tmpl w:val="BAD8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6736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CC"/>
    <w:rsid w:val="000011E6"/>
    <w:rsid w:val="00085ED8"/>
    <w:rsid w:val="001E1F5B"/>
    <w:rsid w:val="0021458D"/>
    <w:rsid w:val="0028288A"/>
    <w:rsid w:val="00286731"/>
    <w:rsid w:val="002C1862"/>
    <w:rsid w:val="00401247"/>
    <w:rsid w:val="00575957"/>
    <w:rsid w:val="005B5B95"/>
    <w:rsid w:val="005C6BB5"/>
    <w:rsid w:val="006246CC"/>
    <w:rsid w:val="006246FE"/>
    <w:rsid w:val="00636FBC"/>
    <w:rsid w:val="00703258"/>
    <w:rsid w:val="00767CD6"/>
    <w:rsid w:val="007B2E6A"/>
    <w:rsid w:val="009914CF"/>
    <w:rsid w:val="009F597E"/>
    <w:rsid w:val="00A17181"/>
    <w:rsid w:val="00AB404D"/>
    <w:rsid w:val="00AE7A30"/>
    <w:rsid w:val="00C639CB"/>
    <w:rsid w:val="00CA4D7D"/>
    <w:rsid w:val="00D61D01"/>
    <w:rsid w:val="00DB4AB2"/>
    <w:rsid w:val="00F12A36"/>
    <w:rsid w:val="00F12B4E"/>
    <w:rsid w:val="00FE3A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630E"/>
  <w15:chartTrackingRefBased/>
  <w15:docId w15:val="{9E8FB231-79E0-48CF-90F2-771819CD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1E6"/>
    <w:pPr>
      <w:ind w:left="720"/>
      <w:contextualSpacing/>
    </w:pPr>
  </w:style>
  <w:style w:type="paragraph" w:styleId="a4">
    <w:name w:val="header"/>
    <w:basedOn w:val="a"/>
    <w:link w:val="a5"/>
    <w:uiPriority w:val="99"/>
    <w:unhideWhenUsed/>
    <w:rsid w:val="005B5B95"/>
    <w:pPr>
      <w:tabs>
        <w:tab w:val="center" w:pos="4153"/>
        <w:tab w:val="right" w:pos="8306"/>
      </w:tabs>
      <w:spacing w:after="0" w:line="240" w:lineRule="auto"/>
    </w:pPr>
  </w:style>
  <w:style w:type="character" w:customStyle="1" w:styleId="a5">
    <w:name w:val="כותרת עליונה תו"/>
    <w:basedOn w:val="a0"/>
    <w:link w:val="a4"/>
    <w:uiPriority w:val="99"/>
    <w:rsid w:val="005B5B95"/>
  </w:style>
  <w:style w:type="paragraph" w:styleId="a6">
    <w:name w:val="footer"/>
    <w:basedOn w:val="a"/>
    <w:link w:val="a7"/>
    <w:uiPriority w:val="99"/>
    <w:unhideWhenUsed/>
    <w:rsid w:val="005B5B95"/>
    <w:pPr>
      <w:tabs>
        <w:tab w:val="center" w:pos="4153"/>
        <w:tab w:val="right" w:pos="8306"/>
      </w:tabs>
      <w:spacing w:after="0" w:line="240" w:lineRule="auto"/>
    </w:pPr>
  </w:style>
  <w:style w:type="character" w:customStyle="1" w:styleId="a7">
    <w:name w:val="כותרת תחתונה תו"/>
    <w:basedOn w:val="a0"/>
    <w:link w:val="a6"/>
    <w:uiPriority w:val="99"/>
    <w:rsid w:val="005B5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075C5-17DB-49A2-BD2A-F493886B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808</Words>
  <Characters>4044</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שבט</dc:creator>
  <cp:keywords/>
  <dc:description/>
  <cp:lastModifiedBy>ארי שבט</cp:lastModifiedBy>
  <cp:revision>14</cp:revision>
  <dcterms:created xsi:type="dcterms:W3CDTF">2022-06-06T12:25:00Z</dcterms:created>
  <dcterms:modified xsi:type="dcterms:W3CDTF">2022-06-07T13:52:00Z</dcterms:modified>
</cp:coreProperties>
</file>