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4CA" w14:textId="77777777" w:rsidR="008D1176" w:rsidRPr="008D1176" w:rsidRDefault="00D21CA9" w:rsidP="00D2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8D1176">
        <w:rPr>
          <w:rFonts w:ascii="Arial" w:hAnsi="Arial" w:cs="Arial" w:hint="cs"/>
          <w:sz w:val="24"/>
          <w:szCs w:val="24"/>
          <w:rtl/>
        </w:rPr>
        <w:t>ב"ה</w:t>
      </w:r>
      <w:r w:rsidR="008D1176" w:rsidRPr="008D1176">
        <w:rPr>
          <w:rFonts w:ascii="Arial" w:hAnsi="Arial" w:cs="Arial" w:hint="cs"/>
          <w:sz w:val="24"/>
          <w:szCs w:val="24"/>
          <w:rtl/>
        </w:rPr>
        <w:t xml:space="preserve">  </w:t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/>
          <w:sz w:val="24"/>
          <w:szCs w:val="24"/>
          <w:rtl/>
        </w:rPr>
        <w:tab/>
      </w:r>
      <w:r w:rsidR="008D1176" w:rsidRPr="008D1176">
        <w:rPr>
          <w:rFonts w:ascii="Arial" w:hAnsi="Arial" w:cs="Arial" w:hint="cs"/>
          <w:sz w:val="24"/>
          <w:szCs w:val="24"/>
          <w:rtl/>
        </w:rPr>
        <w:t>הרב ארי שבט</w:t>
      </w:r>
    </w:p>
    <w:p w14:paraId="59EF2990" w14:textId="49A23D5E" w:rsidR="00D21CA9" w:rsidRPr="008D1176" w:rsidRDefault="00D21CA9" w:rsidP="00D21C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rtl/>
        </w:rPr>
      </w:pPr>
      <w:r w:rsidRPr="008D1176">
        <w:rPr>
          <w:rFonts w:ascii="Arial" w:hAnsi="Arial" w:cs="Arial"/>
          <w:sz w:val="24"/>
          <w:szCs w:val="24"/>
          <w:rtl/>
        </w:rPr>
        <w:br/>
      </w:r>
    </w:p>
    <w:p w14:paraId="2FC8F02E" w14:textId="4C18014C" w:rsidR="00D21CA9" w:rsidRPr="00B65BBE" w:rsidRDefault="00BC14FE" w:rsidP="008D1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Narkisim"/>
          <w:bCs/>
          <w:sz w:val="36"/>
          <w:szCs w:val="36"/>
          <w:u w:val="single"/>
          <w:rtl/>
        </w:rPr>
      </w:pPr>
      <w:r>
        <w:rPr>
          <w:rFonts w:ascii="Arial" w:hAnsi="Arial" w:cs="Narkisim" w:hint="cs"/>
          <w:bCs/>
          <w:sz w:val="36"/>
          <w:szCs w:val="36"/>
          <w:u w:val="single"/>
          <w:rtl/>
        </w:rPr>
        <w:t>המשמעות של</w:t>
      </w:r>
      <w:r w:rsidR="008D1176" w:rsidRPr="00B65BBE">
        <w:rPr>
          <w:rFonts w:ascii="Arial" w:hAnsi="Arial" w:cs="Narkisim" w:hint="cs"/>
          <w:bCs/>
          <w:sz w:val="36"/>
          <w:szCs w:val="36"/>
          <w:u w:val="single"/>
          <w:rtl/>
        </w:rPr>
        <w:t xml:space="preserve"> אסו</w:t>
      </w:r>
      <w:r w:rsidR="00BF5F4C">
        <w:rPr>
          <w:rFonts w:ascii="Arial" w:hAnsi="Arial" w:cs="Narkisim" w:hint="cs"/>
          <w:bCs/>
          <w:sz w:val="36"/>
          <w:szCs w:val="36"/>
          <w:u w:val="single"/>
          <w:rtl/>
        </w:rPr>
        <w:t>צ</w:t>
      </w:r>
      <w:r w:rsidR="008D1176" w:rsidRPr="00B65BBE">
        <w:rPr>
          <w:rFonts w:ascii="Arial" w:hAnsi="Arial" w:cs="Narkisim" w:hint="cs"/>
          <w:bCs/>
          <w:sz w:val="36"/>
          <w:szCs w:val="36"/>
          <w:u w:val="single"/>
          <w:rtl/>
        </w:rPr>
        <w:t xml:space="preserve">יאציות </w:t>
      </w:r>
      <w:r w:rsidR="00464EEA">
        <w:rPr>
          <w:rFonts w:ascii="Arial" w:hAnsi="Arial" w:cs="Narkisim" w:hint="cs"/>
          <w:bCs/>
          <w:sz w:val="36"/>
          <w:szCs w:val="36"/>
          <w:u w:val="single"/>
          <w:rtl/>
        </w:rPr>
        <w:t xml:space="preserve">שהן לכאורה מקריות </w:t>
      </w:r>
    </w:p>
    <w:p w14:paraId="723E3A99" w14:textId="7E64E9BC" w:rsidR="008D1176" w:rsidRDefault="00464EEA" w:rsidP="008D1176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Narkisim"/>
          <w:b/>
          <w:sz w:val="34"/>
          <w:szCs w:val="34"/>
          <w:u w:val="single"/>
        </w:rPr>
      </w:pPr>
      <w:r>
        <w:rPr>
          <w:rFonts w:ascii="Arial" w:hAnsi="Arial" w:cs="Narkisim"/>
          <w:b/>
          <w:sz w:val="34"/>
          <w:szCs w:val="34"/>
          <w:u w:val="single"/>
        </w:rPr>
        <w:t>The</w:t>
      </w:r>
      <w:r w:rsidR="008D1176" w:rsidRPr="00464EEA">
        <w:rPr>
          <w:rFonts w:ascii="Arial" w:hAnsi="Arial" w:cs="Narkisim"/>
          <w:b/>
          <w:sz w:val="34"/>
          <w:szCs w:val="34"/>
          <w:u w:val="single"/>
        </w:rPr>
        <w:t xml:space="preserve"> Significan</w:t>
      </w:r>
      <w:r>
        <w:rPr>
          <w:rFonts w:ascii="Arial" w:hAnsi="Arial" w:cs="Narkisim"/>
          <w:b/>
          <w:sz w:val="34"/>
          <w:szCs w:val="34"/>
          <w:u w:val="single"/>
        </w:rPr>
        <w:t xml:space="preserve">ce of </w:t>
      </w:r>
      <w:r w:rsidR="006A009B">
        <w:rPr>
          <w:rFonts w:ascii="Arial" w:hAnsi="Arial" w:cs="Narkisim"/>
          <w:b/>
          <w:sz w:val="34"/>
          <w:szCs w:val="34"/>
          <w:u w:val="single"/>
        </w:rPr>
        <w:t>'</w:t>
      </w:r>
      <w:r w:rsidRPr="00464EEA">
        <w:rPr>
          <w:rFonts w:ascii="Arial" w:hAnsi="Arial" w:cs="Narkisim"/>
          <w:b/>
          <w:sz w:val="34"/>
          <w:szCs w:val="34"/>
          <w:u w:val="single"/>
        </w:rPr>
        <w:t>Coincidental</w:t>
      </w:r>
      <w:r w:rsidR="006A009B">
        <w:rPr>
          <w:rFonts w:ascii="Arial" w:hAnsi="Arial" w:cs="Narkisim"/>
          <w:b/>
          <w:sz w:val="34"/>
          <w:szCs w:val="34"/>
          <w:u w:val="single"/>
        </w:rPr>
        <w:t>'</w:t>
      </w:r>
      <w:r w:rsidRPr="00464EEA">
        <w:rPr>
          <w:rFonts w:ascii="Arial" w:hAnsi="Arial" w:cs="Narkisim"/>
          <w:b/>
          <w:sz w:val="34"/>
          <w:szCs w:val="34"/>
          <w:u w:val="single"/>
        </w:rPr>
        <w:t xml:space="preserve"> Associations</w:t>
      </w:r>
    </w:p>
    <w:p w14:paraId="0067CC55" w14:textId="77777777" w:rsidR="009D532A" w:rsidRPr="008D03E6" w:rsidRDefault="009D532A" w:rsidP="009D532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Narkisim"/>
          <w:b/>
          <w:sz w:val="24"/>
          <w:szCs w:val="24"/>
          <w:u w:val="single"/>
        </w:rPr>
      </w:pPr>
    </w:p>
    <w:p w14:paraId="62261325" w14:textId="57EF3A2E" w:rsidR="00D21CA9" w:rsidRPr="008D03E6" w:rsidRDefault="009D532A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 w:hint="cs"/>
          <w:bCs/>
          <w:sz w:val="24"/>
          <w:szCs w:val="24"/>
          <w:rtl/>
        </w:rPr>
        <w:t xml:space="preserve">1. </w:t>
      </w:r>
      <w:r w:rsidR="00D21CA9" w:rsidRPr="008D03E6">
        <w:rPr>
          <w:rFonts w:ascii="David" w:hAnsi="David" w:cs="David"/>
          <w:bCs/>
          <w:sz w:val="24"/>
          <w:szCs w:val="24"/>
          <w:rtl/>
        </w:rPr>
        <w:t>מסכת</w:t>
      </w:r>
      <w:r w:rsidR="00D21CA9" w:rsidRPr="008D03E6">
        <w:rPr>
          <w:rFonts w:ascii="David" w:hAnsi="David" w:cs="David"/>
          <w:b/>
          <w:bCs/>
          <w:sz w:val="24"/>
          <w:szCs w:val="24"/>
          <w:rtl/>
        </w:rPr>
        <w:t xml:space="preserve"> שבת דף מט ע”ב</w:t>
      </w:r>
      <w:r w:rsidR="00D21CA9" w:rsidRPr="008D03E6">
        <w:rPr>
          <w:rFonts w:ascii="David" w:hAnsi="David" w:cs="David"/>
          <w:sz w:val="24"/>
          <w:szCs w:val="24"/>
          <w:rtl/>
        </w:rPr>
        <w:t xml:space="preserve"> </w:t>
      </w:r>
    </w:p>
    <w:p w14:paraId="7BBF6C9F" w14:textId="7D4E5B19" w:rsidR="005B69C6" w:rsidRPr="008D03E6" w:rsidRDefault="00D21CA9" w:rsidP="005B69C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הדור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יתבי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וקמיבעיא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להו הא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דתנן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אבות מלאכות ארבעים חסר אחת כנגד מי? אמר להו ר'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חנינא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בר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חמא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כנגד עבודות המשכן אמר להו ר' יונתן בר' אלעזר כך אמר רבי שמעון ברבי יוסי בן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>לקוניא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  <w:t xml:space="preserve"> כנגד מלאכה מלאכתו ומלאכת שבתורה ארבעים חסר אחת.</w:t>
      </w:r>
      <w:r w:rsidR="005B69C6"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336AD363" w14:textId="3DAC9B4C" w:rsidR="00D21CA9" w:rsidRPr="008D03E6" w:rsidRDefault="005B69C6" w:rsidP="005B69C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בעי רב יוסף: </w:t>
      </w:r>
      <w:r w:rsidRPr="008D03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8D03E6">
        <w:rPr>
          <w:rFonts w:ascii="David" w:hAnsi="David" w:cs="David"/>
          <w:b/>
          <w:bCs/>
          <w:sz w:val="24"/>
          <w:szCs w:val="24"/>
          <w:rtl/>
        </w:rPr>
        <w:t>ויבא הביתה לעשות מלאכתו</w:t>
      </w:r>
      <w:r w:rsidRPr="008D03E6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ממנינא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הוא, או לא? - אמר ליה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אביי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וליתי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ספר תורה ולימני! מי לא אמר רבה בר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בר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חנה אמר רבי יוחנן: לא זזו משם, עד שהביאו ספר תורה ומנאום. אמר ליה: כי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קא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מספקא לי - משום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דכתיב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והמלאכה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היתה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דים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D03E6">
        <w:rPr>
          <w:rFonts w:ascii="David" w:hAnsi="David" w:cs="David" w:hint="cs"/>
          <w:sz w:val="24"/>
          <w:szCs w:val="24"/>
          <w:rtl/>
        </w:rPr>
        <w:t xml:space="preserve">[ </w:t>
      </w:r>
      <w:r w:rsidRPr="008D03E6">
        <w:rPr>
          <w:rFonts w:ascii="David" w:hAnsi="David" w:cs="David"/>
          <w:sz w:val="24"/>
          <w:szCs w:val="24"/>
          <w:rtl/>
        </w:rPr>
        <w:t>לכל המלאכה לעשות אותה והותר" (שמות לה ז)</w:t>
      </w:r>
      <w:r w:rsidRPr="008D03E6">
        <w:rPr>
          <w:rFonts w:ascii="David" w:hAnsi="David" w:cs="David" w:hint="cs"/>
          <w:sz w:val="24"/>
          <w:szCs w:val="24"/>
          <w:rtl/>
        </w:rPr>
        <w:t>]</w:t>
      </w:r>
      <w:r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ממנינא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הוא, והא - כמאן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דאמר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לעשות צרכיו נכנס, או דילמא: ויבא הביתה לעשות מלאכתו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ממנינא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הוא, והאי והמלאכה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היתה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דים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- הכי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קאמר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דשלים</w:t>
      </w:r>
      <w:proofErr w:type="spellEnd"/>
      <w:r w:rsidRPr="008D03E6">
        <w:rPr>
          <w:rFonts w:ascii="David" w:hAnsi="David" w:cs="David"/>
          <w:b/>
          <w:bCs/>
          <w:sz w:val="24"/>
          <w:szCs w:val="24"/>
          <w:rtl/>
        </w:rPr>
        <w:t xml:space="preserve"> ליה </w:t>
      </w:r>
      <w:proofErr w:type="spellStart"/>
      <w:r w:rsidRPr="008D03E6">
        <w:rPr>
          <w:rFonts w:ascii="David" w:hAnsi="David" w:cs="David"/>
          <w:b/>
          <w:bCs/>
          <w:sz w:val="24"/>
          <w:szCs w:val="24"/>
          <w:rtl/>
        </w:rPr>
        <w:t>עבידתא</w:t>
      </w:r>
      <w:proofErr w:type="spellEnd"/>
      <w:r w:rsidR="00EA331A"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EA331A" w:rsidRPr="008D03E6">
        <w:rPr>
          <w:rFonts w:ascii="David" w:hAnsi="David" w:cs="David"/>
          <w:sz w:val="24"/>
          <w:szCs w:val="24"/>
          <w:rtl/>
        </w:rPr>
        <w:t>[</w:t>
      </w:r>
      <w:r w:rsidR="00EA331A" w:rsidRPr="008D03E6">
        <w:rPr>
          <w:rFonts w:ascii="David" w:hAnsi="David" w:cs="David" w:hint="cs"/>
          <w:sz w:val="24"/>
          <w:szCs w:val="24"/>
          <w:rtl/>
        </w:rPr>
        <w:t>=</w:t>
      </w:r>
      <w:r w:rsidR="00EA331A" w:rsidRPr="008D03E6">
        <w:rPr>
          <w:rFonts w:ascii="David" w:hAnsi="David" w:cs="David"/>
          <w:sz w:val="24"/>
          <w:szCs w:val="24"/>
          <w:rtl/>
        </w:rPr>
        <w:t>שהושלמה לה מלאכת ההכנה, הבאת הנדבות]</w:t>
      </w:r>
      <w:r w:rsidRPr="008D03E6">
        <w:rPr>
          <w:rFonts w:ascii="David" w:hAnsi="David" w:cs="David"/>
          <w:b/>
          <w:bCs/>
          <w:sz w:val="24"/>
          <w:szCs w:val="24"/>
          <w:rtl/>
        </w:rPr>
        <w:t>? תיקו.</w:t>
      </w:r>
    </w:p>
    <w:p w14:paraId="1504D934" w14:textId="77777777" w:rsidR="00852F13" w:rsidRPr="008D03E6" w:rsidRDefault="00852F13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11AAF101" w14:textId="6CEBC1A9" w:rsidR="00852F13" w:rsidRPr="008D03E6" w:rsidRDefault="009D532A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2. </w:t>
      </w:r>
      <w:r w:rsidR="00852F13" w:rsidRPr="008D03E6">
        <w:rPr>
          <w:rFonts w:ascii="David" w:hAnsi="David" w:cs="David"/>
          <w:b/>
          <w:bCs/>
          <w:sz w:val="24"/>
          <w:szCs w:val="24"/>
          <w:rtl/>
        </w:rPr>
        <w:t>תוספות מסכת שבת דף מט עמוד ב</w:t>
      </w:r>
    </w:p>
    <w:p w14:paraId="36BEF6F7" w14:textId="3B79A907" w:rsidR="00D21CA9" w:rsidRPr="008D03E6" w:rsidRDefault="00852F13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b/>
          <w:bCs/>
          <w:sz w:val="24"/>
          <w:szCs w:val="24"/>
          <w:rtl/>
        </w:rPr>
        <w:t>כנגד מי -</w:t>
      </w:r>
      <w:r w:rsidRPr="008D03E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דהרבה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מלאכות יש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דדמיין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להדדי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והוה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לן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למחשבינהו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כולן כאחת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כדפריך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בפרק כלל גדול (לקמן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עג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:) היינו זורה היינו בורר היינו מרקד ומשום חילוק מועט שביניהם לא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הוה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מחלקינן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להו אי לאו דקים להו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דל"ט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מלאכות הן כנגד שום דבר לכך בעי כנגד מי.</w:t>
      </w:r>
    </w:p>
    <w:p w14:paraId="45563AAC" w14:textId="760D674B" w:rsidR="00852F13" w:rsidRPr="008D03E6" w:rsidRDefault="00852F13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AF8DB3B" w14:textId="766E7875" w:rsidR="00852F13" w:rsidRPr="008D03E6" w:rsidRDefault="009D532A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3. </w:t>
      </w:r>
      <w:r w:rsidR="00852F13" w:rsidRPr="008D03E6">
        <w:rPr>
          <w:rFonts w:ascii="David" w:hAnsi="David" w:cs="David"/>
          <w:b/>
          <w:bCs/>
          <w:sz w:val="24"/>
          <w:szCs w:val="24"/>
          <w:rtl/>
        </w:rPr>
        <w:t>רש"י מסכת שבת דף מט עמוד ב</w:t>
      </w:r>
    </w:p>
    <w:p w14:paraId="7B40AC6B" w14:textId="67FF630A" w:rsidR="00852F13" w:rsidRPr="008D03E6" w:rsidRDefault="00852F13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 xml:space="preserve">כנגד עבודות המשכן - אותן המנויות שם בפרק כלל גדול היו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צריכין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למשכן, ופרשת שבת נסמכה לפרשת מלאכת המשכן ללמוד הימנה.</w:t>
      </w:r>
    </w:p>
    <w:p w14:paraId="1956A273" w14:textId="0E6C2A55" w:rsidR="00852F13" w:rsidRPr="008D03E6" w:rsidRDefault="00852F13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3DC4A048" w14:textId="37CAD7CB" w:rsidR="00852F13" w:rsidRPr="008D03E6" w:rsidRDefault="009D532A" w:rsidP="00852F13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 w:hint="cs"/>
          <w:bCs/>
          <w:sz w:val="24"/>
          <w:szCs w:val="24"/>
          <w:rtl/>
        </w:rPr>
        <w:t xml:space="preserve">4. </w:t>
      </w:r>
      <w:proofErr w:type="spellStart"/>
      <w:r w:rsidR="00852F13" w:rsidRPr="008D03E6">
        <w:rPr>
          <w:rFonts w:ascii="David" w:hAnsi="David" w:cs="David"/>
          <w:bCs/>
          <w:sz w:val="24"/>
          <w:szCs w:val="24"/>
          <w:rtl/>
        </w:rPr>
        <w:t>הראי"ה</w:t>
      </w:r>
      <w:proofErr w:type="spellEnd"/>
      <w:r w:rsidR="00852F13" w:rsidRPr="008D03E6">
        <w:rPr>
          <w:rFonts w:ascii="David" w:hAnsi="David" w:cs="David"/>
          <w:bCs/>
          <w:sz w:val="24"/>
          <w:szCs w:val="24"/>
          <w:rtl/>
        </w:rPr>
        <w:t xml:space="preserve"> קוק, עין איה, שבת ד, ג על מסכת </w:t>
      </w:r>
      <w:r w:rsidR="00852F13" w:rsidRPr="008D03E6">
        <w:rPr>
          <w:rFonts w:ascii="David" w:hAnsi="David" w:cs="David"/>
          <w:b/>
          <w:bCs/>
          <w:sz w:val="24"/>
          <w:szCs w:val="24"/>
          <w:rtl/>
        </w:rPr>
        <w:t>שבת דף מט ע”ב</w:t>
      </w:r>
      <w:r w:rsidR="00852F13" w:rsidRPr="008D03E6">
        <w:rPr>
          <w:rFonts w:ascii="David" w:hAnsi="David" w:cs="David"/>
          <w:sz w:val="24"/>
          <w:szCs w:val="24"/>
          <w:rtl/>
        </w:rPr>
        <w:t xml:space="preserve"> </w:t>
      </w:r>
    </w:p>
    <w:p w14:paraId="0FF7C501" w14:textId="77777777" w:rsidR="00D21CA9" w:rsidRPr="008D03E6" w:rsidRDefault="00D21CA9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 xml:space="preserve">א. כל דבר שאפשר על ידו להפרות את המחשבה, להוציא רעיונות חדשים מן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הכח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אל הפועל, </w:t>
      </w:r>
      <w:r w:rsidRPr="008D03E6">
        <w:rPr>
          <w:rFonts w:ascii="David" w:hAnsi="David" w:cs="David"/>
          <w:b/>
          <w:bCs/>
          <w:sz w:val="24"/>
          <w:szCs w:val="24"/>
          <w:rtl/>
        </w:rPr>
        <w:t>אי אפשר בשום אופן שלא יהיה נועד לכך</w:t>
      </w:r>
      <w:r w:rsidRPr="008D03E6">
        <w:rPr>
          <w:rFonts w:ascii="David" w:hAnsi="David" w:cs="David"/>
          <w:sz w:val="24"/>
          <w:szCs w:val="24"/>
          <w:rtl/>
        </w:rPr>
        <w:t xml:space="preserve">. וכאשר המושגים, יש להם תמיד דוגמאות במלא [ה]מרחב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החמרי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והרוחני שבמציאות, ודאי יש לכל הצדדים של היחש שבדוגמא במה לעורר את המחשבה, לחשוב דברים נשגבים ומרוממים את הקדושה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האלהית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אשר בנפש האדם. </w:t>
      </w:r>
    </w:p>
    <w:p w14:paraId="4A6150BF" w14:textId="77777777" w:rsidR="00D21CA9" w:rsidRPr="008D03E6" w:rsidRDefault="00D21CA9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4D45499" w14:textId="77777777" w:rsidR="008D1176" w:rsidRPr="008D03E6" w:rsidRDefault="00D21CA9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 xml:space="preserve">ב. ופרטים שנקבצים לתוך איזה כלל גדול, יש ודאי ליסוד הקיבוץ שלהם ציור הגיוני המקיף את כולם, ואותו ההיקף ודאי יש לו דוגמא בצדדים אחרים שבמציאות,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שבהתחברם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יחד לצורה שכלית יצא מהם הגיון נעלה. אלא שצריך, עם השיווי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היחושי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שמצד המקרים החיצוניים, לחבר ג"כ ההכרעה ההגיונית לאיזה מקום נאות יותר לפי מצב הרעיונות והמעשים וכללות החיים שלנו, לקשר שמה את היחש של השיווי, כדי להוציא תולדה נאותה מושכלת ומועלת. </w:t>
      </w:r>
    </w:p>
    <w:p w14:paraId="63D56C90" w14:textId="77777777" w:rsidR="008D1176" w:rsidRPr="008D03E6" w:rsidRDefault="008D1176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</w:p>
    <w:p w14:paraId="69B962C2" w14:textId="398272CA" w:rsidR="00D21CA9" w:rsidRPr="008D03E6" w:rsidRDefault="008D1176" w:rsidP="00D21CA9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 xml:space="preserve">ג. </w:t>
      </w:r>
      <w:r w:rsidR="00D21CA9" w:rsidRPr="008D03E6">
        <w:rPr>
          <w:rFonts w:ascii="David" w:hAnsi="David" w:cs="David"/>
          <w:sz w:val="24"/>
          <w:szCs w:val="24"/>
          <w:rtl/>
        </w:rPr>
        <w:t>ע"כ נופלת יפה השאלה על אותה הצורה הקצובה שבמספר ל"ט אבות מלאכות,</w:t>
      </w:r>
      <w:r w:rsidRPr="008D03E6">
        <w:rPr>
          <w:rFonts w:ascii="David" w:hAnsi="David" w:cs="David"/>
          <w:sz w:val="24"/>
          <w:szCs w:val="24"/>
          <w:rtl/>
        </w:rPr>
        <w:t xml:space="preserve"> כנגד מי?</w:t>
      </w:r>
      <w:r w:rsidR="00D21CA9" w:rsidRPr="008D03E6">
        <w:rPr>
          <w:rFonts w:ascii="David" w:hAnsi="David" w:cs="David"/>
          <w:sz w:val="24"/>
          <w:szCs w:val="24"/>
          <w:rtl/>
        </w:rPr>
        <w:t xml:space="preserve">  </w:t>
      </w:r>
    </w:p>
    <w:p w14:paraId="3D7739EE" w14:textId="21F62599" w:rsidR="008D1176" w:rsidRPr="008D03E6" w:rsidRDefault="008D1176">
      <w:pPr>
        <w:rPr>
          <w:rFonts w:ascii="David" w:hAnsi="David" w:cs="David"/>
          <w:sz w:val="24"/>
          <w:szCs w:val="24"/>
          <w:rtl/>
        </w:rPr>
      </w:pPr>
    </w:p>
    <w:p w14:paraId="29C7768D" w14:textId="4794974F" w:rsidR="0078525E" w:rsidRPr="008D03E6" w:rsidRDefault="009D532A" w:rsidP="0078525E">
      <w:pPr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5. </w:t>
      </w:r>
      <w:r w:rsidR="0078525E" w:rsidRPr="008D03E6">
        <w:rPr>
          <w:rFonts w:ascii="David" w:hAnsi="David" w:cs="David"/>
          <w:b/>
          <w:bCs/>
          <w:sz w:val="24"/>
          <w:szCs w:val="24"/>
          <w:rtl/>
        </w:rPr>
        <w:t>תלמוד בבלי מסכת חולין דף קלט עמוד ב</w:t>
      </w:r>
    </w:p>
    <w:p w14:paraId="7B0D12A7" w14:textId="37CDB9FF" w:rsidR="008D1176" w:rsidRPr="008D03E6" w:rsidRDefault="0078525E" w:rsidP="0078525E">
      <w:pPr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>משה מן התורה מנין? בשגם הוא בשר (בראשית ו, ג), המן מן התורה מנין? המן העץ (שם, ג, יא), אסתר מן התורה מנין? ואנכי הסתר אסתיר (</w:t>
      </w:r>
      <w:r w:rsidR="004F3E78" w:rsidRPr="008D03E6">
        <w:rPr>
          <w:rFonts w:ascii="David" w:hAnsi="David" w:cs="David"/>
          <w:sz w:val="24"/>
          <w:szCs w:val="24"/>
          <w:rtl/>
        </w:rPr>
        <w:t xml:space="preserve">דברים לא, </w:t>
      </w:r>
      <w:proofErr w:type="spellStart"/>
      <w:r w:rsidR="004F3E78" w:rsidRPr="008D03E6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), מרדכי מן התורה מנין?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דכתיב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מר דרור </w:t>
      </w:r>
      <w:r w:rsidR="004F3E78" w:rsidRPr="008D03E6">
        <w:rPr>
          <w:rFonts w:ascii="David" w:hAnsi="David" w:cs="David"/>
          <w:sz w:val="24"/>
          <w:szCs w:val="24"/>
          <w:rtl/>
        </w:rPr>
        <w:t xml:space="preserve">(שמות ל, </w:t>
      </w:r>
      <w:proofErr w:type="spellStart"/>
      <w:r w:rsidR="004F3E78" w:rsidRPr="008D03E6">
        <w:rPr>
          <w:rFonts w:ascii="David" w:hAnsi="David" w:cs="David"/>
          <w:sz w:val="24"/>
          <w:szCs w:val="24"/>
          <w:rtl/>
        </w:rPr>
        <w:t>כג</w:t>
      </w:r>
      <w:proofErr w:type="spellEnd"/>
      <w:r w:rsidR="004F3E78" w:rsidRPr="008D03E6">
        <w:rPr>
          <w:rFonts w:ascii="David" w:hAnsi="David" w:cs="David"/>
          <w:sz w:val="24"/>
          <w:szCs w:val="24"/>
          <w:rtl/>
        </w:rPr>
        <w:t xml:space="preserve">)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ומתרגמינן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: מירא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דכיא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>.</w:t>
      </w:r>
    </w:p>
    <w:p w14:paraId="6A65331E" w14:textId="4766EAAD" w:rsidR="005A52F8" w:rsidRPr="008D03E6" w:rsidRDefault="005A52F8" w:rsidP="0078525E">
      <w:pPr>
        <w:rPr>
          <w:rFonts w:ascii="David" w:hAnsi="David" w:cs="David"/>
          <w:sz w:val="24"/>
          <w:szCs w:val="24"/>
          <w:rtl/>
        </w:rPr>
      </w:pPr>
    </w:p>
    <w:p w14:paraId="5DB00B51" w14:textId="22B46A76" w:rsidR="005A52F8" w:rsidRPr="008D03E6" w:rsidRDefault="009D532A" w:rsidP="005A52F8">
      <w:pPr>
        <w:rPr>
          <w:rFonts w:ascii="David" w:hAnsi="David" w:cs="David"/>
          <w:b/>
          <w:bCs/>
          <w:sz w:val="24"/>
          <w:szCs w:val="24"/>
          <w:rtl/>
        </w:rPr>
      </w:pPr>
      <w:r w:rsidRPr="008D03E6">
        <w:rPr>
          <w:rFonts w:ascii="David" w:hAnsi="David" w:cs="David" w:hint="cs"/>
          <w:b/>
          <w:bCs/>
          <w:sz w:val="24"/>
          <w:szCs w:val="24"/>
          <w:rtl/>
        </w:rPr>
        <w:t xml:space="preserve">6. </w:t>
      </w:r>
      <w:r w:rsidR="005A52F8" w:rsidRPr="008D03E6">
        <w:rPr>
          <w:rFonts w:ascii="David" w:hAnsi="David" w:cs="David"/>
          <w:b/>
          <w:bCs/>
          <w:sz w:val="24"/>
          <w:szCs w:val="24"/>
          <w:rtl/>
        </w:rPr>
        <w:t xml:space="preserve">שפת אמת, שמות פרשת </w:t>
      </w:r>
      <w:proofErr w:type="spellStart"/>
      <w:r w:rsidR="005A52F8" w:rsidRPr="008D03E6">
        <w:rPr>
          <w:rFonts w:ascii="David" w:hAnsi="David" w:cs="David"/>
          <w:b/>
          <w:bCs/>
          <w:sz w:val="24"/>
          <w:szCs w:val="24"/>
          <w:rtl/>
        </w:rPr>
        <w:t>וארא</w:t>
      </w:r>
      <w:proofErr w:type="spellEnd"/>
    </w:p>
    <w:p w14:paraId="5245D473" w14:textId="45AF0841" w:rsidR="005A52F8" w:rsidRPr="008D03E6" w:rsidRDefault="005A52F8" w:rsidP="005A52F8">
      <w:pPr>
        <w:rPr>
          <w:rFonts w:ascii="David" w:hAnsi="David" w:cs="David"/>
          <w:sz w:val="24"/>
          <w:szCs w:val="24"/>
          <w:rtl/>
        </w:rPr>
      </w:pPr>
      <w:r w:rsidRPr="008D03E6">
        <w:rPr>
          <w:rFonts w:ascii="David" w:hAnsi="David" w:cs="David"/>
          <w:sz w:val="24"/>
          <w:szCs w:val="24"/>
          <w:rtl/>
        </w:rPr>
        <w:t xml:space="preserve">כי בעשרה מאמרות נברא העולם. והגיד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אא"ז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 xml:space="preserve"> מו"ר ז"ל כי נעשה מהם עשרת הדברות באמצעות גלות מצרים ועשר מכות </w:t>
      </w:r>
      <w:proofErr w:type="spellStart"/>
      <w:r w:rsidRPr="008D03E6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8D03E6">
        <w:rPr>
          <w:rFonts w:ascii="David" w:hAnsi="David" w:cs="David"/>
          <w:sz w:val="24"/>
          <w:szCs w:val="24"/>
          <w:rtl/>
        </w:rPr>
        <w:t>' ע"ש.</w:t>
      </w:r>
    </w:p>
    <w:sectPr w:rsidR="005A52F8" w:rsidRPr="008D03E6" w:rsidSect="004313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A9"/>
    <w:rsid w:val="00401247"/>
    <w:rsid w:val="00464EEA"/>
    <w:rsid w:val="004F3E78"/>
    <w:rsid w:val="005A52F8"/>
    <w:rsid w:val="005B69C6"/>
    <w:rsid w:val="006A009B"/>
    <w:rsid w:val="0078525E"/>
    <w:rsid w:val="008422A3"/>
    <w:rsid w:val="00852F13"/>
    <w:rsid w:val="008D03E6"/>
    <w:rsid w:val="008D1176"/>
    <w:rsid w:val="009157A0"/>
    <w:rsid w:val="009D532A"/>
    <w:rsid w:val="00B65BBE"/>
    <w:rsid w:val="00BC14FE"/>
    <w:rsid w:val="00BF5F4C"/>
    <w:rsid w:val="00D21CA9"/>
    <w:rsid w:val="00E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96C0"/>
  <w15:chartTrackingRefBased/>
  <w15:docId w15:val="{1A286B1C-7126-407B-8764-9FC5A55F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411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 שבט</dc:creator>
  <cp:keywords/>
  <dc:description/>
  <cp:lastModifiedBy>ארי שבט</cp:lastModifiedBy>
  <cp:revision>9</cp:revision>
  <dcterms:created xsi:type="dcterms:W3CDTF">2022-04-25T13:39:00Z</dcterms:created>
  <dcterms:modified xsi:type="dcterms:W3CDTF">2022-04-26T17:13:00Z</dcterms:modified>
</cp:coreProperties>
</file>