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76F6F" w14:textId="49B1660A" w:rsidR="001C7F97" w:rsidRPr="009C02D4" w:rsidRDefault="00D279A9" w:rsidP="00822886">
      <w:pPr>
        <w:jc w:val="center"/>
        <w:rPr>
          <w:rFonts w:asciiTheme="majorBidi" w:hAnsiTheme="majorBidi" w:cstheme="majorBidi"/>
          <w:b/>
          <w:bCs/>
        </w:rPr>
      </w:pPr>
      <w:r w:rsidRPr="009C02D4">
        <w:rPr>
          <w:rFonts w:asciiTheme="majorBidi" w:hAnsiTheme="majorBidi" w:cstheme="majorBidi"/>
          <w:b/>
          <w:bCs/>
        </w:rPr>
        <w:t xml:space="preserve">Is Christianity </w:t>
      </w:r>
      <w:proofErr w:type="spellStart"/>
      <w:r w:rsidRPr="009C02D4">
        <w:rPr>
          <w:rFonts w:asciiTheme="majorBidi" w:hAnsiTheme="majorBidi" w:cstheme="majorBidi"/>
          <w:b/>
          <w:bCs/>
        </w:rPr>
        <w:t>Avodah</w:t>
      </w:r>
      <w:proofErr w:type="spellEnd"/>
      <w:r w:rsidRPr="009C02D4">
        <w:rPr>
          <w:rFonts w:asciiTheme="majorBidi" w:hAnsiTheme="majorBidi" w:cstheme="majorBidi"/>
          <w:b/>
          <w:bCs/>
        </w:rPr>
        <w:t xml:space="preserve"> Zara?</w:t>
      </w:r>
    </w:p>
    <w:p w14:paraId="1F95AB82" w14:textId="5AF46F05" w:rsidR="00D279A9" w:rsidRPr="009C02D4" w:rsidRDefault="00D279A9" w:rsidP="00D279A9">
      <w:pPr>
        <w:bidi/>
        <w:jc w:val="right"/>
        <w:rPr>
          <w:rFonts w:asciiTheme="majorBidi" w:hAnsiTheme="majorBidi" w:cstheme="majorBidi"/>
        </w:rPr>
      </w:pPr>
      <w:r w:rsidRPr="009C02D4">
        <w:rPr>
          <w:rFonts w:asciiTheme="majorBidi" w:hAnsiTheme="majorBidi" w:cstheme="majorBidi"/>
        </w:rPr>
        <w:t xml:space="preserve">This is a big topic, but we will focus just on the basics.  </w:t>
      </w:r>
    </w:p>
    <w:p w14:paraId="6E540A79" w14:textId="23501B9D" w:rsidR="00976F16" w:rsidRPr="009C02D4" w:rsidRDefault="00976F16" w:rsidP="00976F16">
      <w:pPr>
        <w:pStyle w:val="ListParagraph"/>
        <w:numPr>
          <w:ilvl w:val="0"/>
          <w:numId w:val="1"/>
        </w:numPr>
        <w:rPr>
          <w:rFonts w:asciiTheme="majorBidi" w:hAnsiTheme="majorBidi" w:cstheme="majorBidi"/>
          <w:b/>
          <w:bCs/>
        </w:rPr>
      </w:pPr>
      <w:r w:rsidRPr="009C02D4">
        <w:rPr>
          <w:rFonts w:asciiTheme="majorBidi" w:hAnsiTheme="majorBidi" w:cstheme="majorBidi"/>
          <w:b/>
          <w:bCs/>
        </w:rPr>
        <w:t xml:space="preserve">Rambam – Christianity is </w:t>
      </w:r>
      <w:proofErr w:type="spellStart"/>
      <w:r w:rsidRPr="009C02D4">
        <w:rPr>
          <w:rFonts w:asciiTheme="majorBidi" w:hAnsiTheme="majorBidi" w:cstheme="majorBidi"/>
          <w:b/>
          <w:bCs/>
        </w:rPr>
        <w:t>Avodah</w:t>
      </w:r>
      <w:proofErr w:type="spellEnd"/>
      <w:r w:rsidRPr="009C02D4">
        <w:rPr>
          <w:rFonts w:asciiTheme="majorBidi" w:hAnsiTheme="majorBidi" w:cstheme="majorBidi"/>
          <w:b/>
          <w:bCs/>
        </w:rPr>
        <w:t xml:space="preserve"> </w:t>
      </w:r>
      <w:proofErr w:type="spellStart"/>
      <w:r w:rsidRPr="009C02D4">
        <w:rPr>
          <w:rFonts w:asciiTheme="majorBidi" w:hAnsiTheme="majorBidi" w:cstheme="majorBidi"/>
          <w:b/>
          <w:bCs/>
        </w:rPr>
        <w:t>Zarah</w:t>
      </w:r>
      <w:proofErr w:type="spellEnd"/>
    </w:p>
    <w:p w14:paraId="28566E54" w14:textId="009A0FD2" w:rsidR="00976F16" w:rsidRPr="009C02D4" w:rsidRDefault="005C35E7" w:rsidP="00976F16">
      <w:pPr>
        <w:pStyle w:val="ListParagraph"/>
        <w:numPr>
          <w:ilvl w:val="1"/>
          <w:numId w:val="1"/>
        </w:numPr>
        <w:rPr>
          <w:rFonts w:asciiTheme="majorBidi" w:hAnsiTheme="majorBidi" w:cstheme="majorBidi"/>
        </w:rPr>
      </w:pPr>
      <w:r w:rsidRPr="009C02D4">
        <w:rPr>
          <w:rFonts w:asciiTheme="majorBidi" w:hAnsiTheme="majorBidi" w:cstheme="majorBidi"/>
        </w:rPr>
        <w:t xml:space="preserve">Look at </w:t>
      </w:r>
      <w:proofErr w:type="spellStart"/>
      <w:r w:rsidRPr="009C02D4">
        <w:rPr>
          <w:rFonts w:asciiTheme="majorBidi" w:hAnsiTheme="majorBidi" w:cstheme="majorBidi"/>
        </w:rPr>
        <w:t>Perush</w:t>
      </w:r>
      <w:proofErr w:type="spellEnd"/>
      <w:r w:rsidRPr="009C02D4">
        <w:rPr>
          <w:rFonts w:asciiTheme="majorBidi" w:hAnsiTheme="majorBidi" w:cstheme="majorBidi"/>
        </w:rPr>
        <w:t xml:space="preserve"> </w:t>
      </w:r>
      <w:proofErr w:type="spellStart"/>
      <w:r w:rsidRPr="009C02D4">
        <w:rPr>
          <w:rFonts w:asciiTheme="majorBidi" w:hAnsiTheme="majorBidi" w:cstheme="majorBidi"/>
        </w:rPr>
        <w:t>HaMishnayot</w:t>
      </w:r>
      <w:proofErr w:type="spellEnd"/>
      <w:r w:rsidRPr="009C02D4">
        <w:rPr>
          <w:rFonts w:asciiTheme="majorBidi" w:hAnsiTheme="majorBidi" w:cstheme="majorBidi"/>
        </w:rPr>
        <w:t xml:space="preserve"> 1:</w:t>
      </w:r>
      <w:r w:rsidR="00DA783D" w:rsidRPr="009C02D4">
        <w:rPr>
          <w:rFonts w:asciiTheme="majorBidi" w:hAnsiTheme="majorBidi" w:cstheme="majorBidi"/>
        </w:rPr>
        <w:t>3-4</w:t>
      </w:r>
      <w:r w:rsidRPr="009C02D4">
        <w:rPr>
          <w:rFonts w:asciiTheme="majorBidi" w:hAnsiTheme="majorBidi" w:cstheme="majorBidi"/>
        </w:rPr>
        <w:t xml:space="preserve"> in </w:t>
      </w:r>
      <w:proofErr w:type="spellStart"/>
      <w:r w:rsidRPr="009C02D4">
        <w:rPr>
          <w:rFonts w:asciiTheme="majorBidi" w:hAnsiTheme="majorBidi" w:cstheme="majorBidi"/>
        </w:rPr>
        <w:t>Avodah</w:t>
      </w:r>
      <w:proofErr w:type="spellEnd"/>
      <w:r w:rsidRPr="009C02D4">
        <w:rPr>
          <w:rFonts w:asciiTheme="majorBidi" w:hAnsiTheme="majorBidi" w:cstheme="majorBidi"/>
        </w:rPr>
        <w:t xml:space="preserve"> </w:t>
      </w:r>
      <w:proofErr w:type="spellStart"/>
      <w:r w:rsidRPr="009C02D4">
        <w:rPr>
          <w:rFonts w:asciiTheme="majorBidi" w:hAnsiTheme="majorBidi" w:cstheme="majorBidi"/>
        </w:rPr>
        <w:t>Zarah</w:t>
      </w:r>
      <w:proofErr w:type="spellEnd"/>
      <w:r w:rsidRPr="009C02D4">
        <w:rPr>
          <w:rFonts w:asciiTheme="majorBidi" w:hAnsiTheme="majorBidi" w:cstheme="majorBidi"/>
        </w:rPr>
        <w:t xml:space="preserve">.  It is in the back of your </w:t>
      </w:r>
      <w:proofErr w:type="spellStart"/>
      <w:r w:rsidRPr="009C02D4">
        <w:rPr>
          <w:rFonts w:asciiTheme="majorBidi" w:hAnsiTheme="majorBidi" w:cstheme="majorBidi"/>
        </w:rPr>
        <w:t>Gemara</w:t>
      </w:r>
      <w:proofErr w:type="spellEnd"/>
    </w:p>
    <w:p w14:paraId="4F9EB89E" w14:textId="479CD798" w:rsidR="005C35E7" w:rsidRPr="009C02D4" w:rsidRDefault="004B4E13" w:rsidP="00976F16">
      <w:pPr>
        <w:pStyle w:val="ListParagraph"/>
        <w:numPr>
          <w:ilvl w:val="1"/>
          <w:numId w:val="1"/>
        </w:numPr>
        <w:rPr>
          <w:rFonts w:asciiTheme="majorBidi" w:hAnsiTheme="majorBidi" w:cstheme="majorBidi"/>
        </w:rPr>
      </w:pPr>
      <w:r w:rsidRPr="009C02D4">
        <w:rPr>
          <w:rFonts w:asciiTheme="majorBidi" w:hAnsiTheme="majorBidi" w:cstheme="majorBidi"/>
        </w:rPr>
        <w:t xml:space="preserve">See </w:t>
      </w:r>
      <w:proofErr w:type="spellStart"/>
      <w:r w:rsidRPr="009C02D4">
        <w:rPr>
          <w:rFonts w:asciiTheme="majorBidi" w:hAnsiTheme="majorBidi" w:cstheme="majorBidi"/>
        </w:rPr>
        <w:t>Avodah</w:t>
      </w:r>
      <w:proofErr w:type="spellEnd"/>
      <w:r w:rsidRPr="009C02D4">
        <w:rPr>
          <w:rFonts w:asciiTheme="majorBidi" w:hAnsiTheme="majorBidi" w:cstheme="majorBidi"/>
        </w:rPr>
        <w:t xml:space="preserve"> </w:t>
      </w:r>
      <w:proofErr w:type="spellStart"/>
      <w:r w:rsidRPr="009C02D4">
        <w:rPr>
          <w:rFonts w:asciiTheme="majorBidi" w:hAnsiTheme="majorBidi" w:cstheme="majorBidi"/>
        </w:rPr>
        <w:t>Zarah</w:t>
      </w:r>
      <w:proofErr w:type="spellEnd"/>
      <w:r w:rsidRPr="009C02D4">
        <w:rPr>
          <w:rFonts w:asciiTheme="majorBidi" w:hAnsiTheme="majorBidi" w:cstheme="majorBidi"/>
        </w:rPr>
        <w:t xml:space="preserve"> 9:4</w:t>
      </w:r>
    </w:p>
    <w:p w14:paraId="6707B802" w14:textId="055D95E8" w:rsidR="00F57856" w:rsidRPr="009C02D4" w:rsidRDefault="00F57856" w:rsidP="00976F16">
      <w:pPr>
        <w:pStyle w:val="ListParagraph"/>
        <w:numPr>
          <w:ilvl w:val="1"/>
          <w:numId w:val="1"/>
        </w:numPr>
        <w:rPr>
          <w:rFonts w:asciiTheme="majorBidi" w:hAnsiTheme="majorBidi" w:cstheme="majorBidi"/>
        </w:rPr>
      </w:pPr>
      <w:r w:rsidRPr="009C02D4">
        <w:rPr>
          <w:rFonts w:asciiTheme="majorBidi" w:hAnsiTheme="majorBidi" w:cstheme="majorBidi"/>
        </w:rPr>
        <w:t>However, see Melachim 11:4</w:t>
      </w:r>
    </w:p>
    <w:p w14:paraId="724CAA4A" w14:textId="77777777" w:rsidR="00624AC2" w:rsidRPr="009C02D4" w:rsidRDefault="00624AC2" w:rsidP="00624AC2">
      <w:pPr>
        <w:pStyle w:val="ListParagraph"/>
        <w:ind w:left="1440"/>
        <w:rPr>
          <w:rFonts w:asciiTheme="majorBidi" w:hAnsiTheme="majorBidi" w:cstheme="majorBidi"/>
        </w:rPr>
      </w:pPr>
    </w:p>
    <w:p w14:paraId="69BE6EE6" w14:textId="68E58F20" w:rsidR="00D279A9" w:rsidRPr="009C02D4" w:rsidRDefault="00624AC2" w:rsidP="00624AC2">
      <w:pPr>
        <w:pStyle w:val="ListParagraph"/>
        <w:numPr>
          <w:ilvl w:val="0"/>
          <w:numId w:val="1"/>
        </w:numPr>
        <w:rPr>
          <w:rFonts w:asciiTheme="majorBidi" w:hAnsiTheme="majorBidi" w:cstheme="majorBidi"/>
          <w:b/>
          <w:bCs/>
        </w:rPr>
      </w:pPr>
      <w:proofErr w:type="spellStart"/>
      <w:r w:rsidRPr="009C02D4">
        <w:rPr>
          <w:rFonts w:asciiTheme="majorBidi" w:hAnsiTheme="majorBidi" w:cstheme="majorBidi"/>
          <w:b/>
          <w:bCs/>
        </w:rPr>
        <w:t>Tosafot</w:t>
      </w:r>
      <w:proofErr w:type="spellEnd"/>
      <w:r w:rsidRPr="009C02D4">
        <w:rPr>
          <w:rFonts w:asciiTheme="majorBidi" w:hAnsiTheme="majorBidi" w:cstheme="majorBidi"/>
          <w:b/>
          <w:bCs/>
        </w:rPr>
        <w:t>?</w:t>
      </w:r>
    </w:p>
    <w:p w14:paraId="49B0BAA2" w14:textId="13AC4753" w:rsidR="00624AC2" w:rsidRPr="009C02D4" w:rsidRDefault="00624AC2" w:rsidP="00624AC2">
      <w:pPr>
        <w:pStyle w:val="ListParagraph"/>
        <w:numPr>
          <w:ilvl w:val="1"/>
          <w:numId w:val="1"/>
        </w:numPr>
        <w:rPr>
          <w:rFonts w:asciiTheme="majorBidi" w:hAnsiTheme="majorBidi" w:cstheme="majorBidi"/>
          <w:b/>
          <w:bCs/>
        </w:rPr>
      </w:pPr>
      <w:r w:rsidRPr="009C02D4">
        <w:rPr>
          <w:rFonts w:asciiTheme="majorBidi" w:hAnsiTheme="majorBidi" w:cstheme="majorBidi"/>
        </w:rPr>
        <w:t xml:space="preserve">This is the continuation of </w:t>
      </w:r>
      <w:proofErr w:type="spellStart"/>
      <w:r w:rsidRPr="009C02D4">
        <w:rPr>
          <w:rFonts w:asciiTheme="majorBidi" w:hAnsiTheme="majorBidi" w:cstheme="majorBidi"/>
        </w:rPr>
        <w:t>Tosafot</w:t>
      </w:r>
      <w:proofErr w:type="spellEnd"/>
      <w:r w:rsidRPr="009C02D4">
        <w:rPr>
          <w:rFonts w:asciiTheme="majorBidi" w:hAnsiTheme="majorBidi" w:cstheme="majorBidi"/>
        </w:rPr>
        <w:t xml:space="preserve"> on 63b, explaining why nowadays one can </w:t>
      </w:r>
      <w:proofErr w:type="gramStart"/>
      <w:r w:rsidRPr="009C02D4">
        <w:rPr>
          <w:rFonts w:asciiTheme="majorBidi" w:hAnsiTheme="majorBidi" w:cstheme="majorBidi"/>
        </w:rPr>
        <w:t>enter into</w:t>
      </w:r>
      <w:proofErr w:type="gramEnd"/>
      <w:r w:rsidRPr="009C02D4">
        <w:rPr>
          <w:rFonts w:asciiTheme="majorBidi" w:hAnsiTheme="majorBidi" w:cstheme="majorBidi"/>
        </w:rPr>
        <w:t xml:space="preserve"> a business deal with non-Jews even if they might swear.  What </w:t>
      </w:r>
      <w:proofErr w:type="spellStart"/>
      <w:r w:rsidRPr="009C02D4">
        <w:rPr>
          <w:rFonts w:asciiTheme="majorBidi" w:hAnsiTheme="majorBidi" w:cstheme="majorBidi"/>
        </w:rPr>
        <w:t>Tosafot</w:t>
      </w:r>
      <w:proofErr w:type="spellEnd"/>
      <w:r w:rsidRPr="009C02D4">
        <w:rPr>
          <w:rFonts w:asciiTheme="majorBidi" w:hAnsiTheme="majorBidi" w:cstheme="majorBidi"/>
        </w:rPr>
        <w:t xml:space="preserve"> means has been a debate for hundreds of years.  </w:t>
      </w:r>
      <w:r w:rsidR="00CD5AF0" w:rsidRPr="009C02D4">
        <w:rPr>
          <w:rFonts w:asciiTheme="majorBidi" w:hAnsiTheme="majorBidi" w:cstheme="majorBidi"/>
        </w:rPr>
        <w:t xml:space="preserve">See the </w:t>
      </w:r>
      <w:proofErr w:type="spellStart"/>
      <w:r w:rsidR="00CD5AF0" w:rsidRPr="009C02D4">
        <w:rPr>
          <w:rFonts w:asciiTheme="majorBidi" w:hAnsiTheme="majorBidi" w:cstheme="majorBidi"/>
        </w:rPr>
        <w:t>Tosafot</w:t>
      </w:r>
      <w:proofErr w:type="spellEnd"/>
      <w:r w:rsidR="00CB01EA" w:rsidRPr="009C02D4">
        <w:rPr>
          <w:rFonts w:asciiTheme="majorBidi" w:hAnsiTheme="majorBidi" w:cstheme="majorBidi"/>
        </w:rPr>
        <w:t xml:space="preserve"> in </w:t>
      </w:r>
      <w:proofErr w:type="spellStart"/>
      <w:r w:rsidR="00CB01EA" w:rsidRPr="009C02D4">
        <w:rPr>
          <w:rFonts w:asciiTheme="majorBidi" w:hAnsiTheme="majorBidi" w:cstheme="majorBidi"/>
        </w:rPr>
        <w:t>Bechorot</w:t>
      </w:r>
      <w:proofErr w:type="spellEnd"/>
      <w:r w:rsidR="00CB01EA" w:rsidRPr="009C02D4">
        <w:rPr>
          <w:rFonts w:asciiTheme="majorBidi" w:hAnsiTheme="majorBidi" w:cstheme="majorBidi"/>
        </w:rPr>
        <w:t xml:space="preserve">, the </w:t>
      </w:r>
      <w:r w:rsidR="00CD5AF0" w:rsidRPr="009C02D4">
        <w:rPr>
          <w:rFonts w:asciiTheme="majorBidi" w:hAnsiTheme="majorBidi" w:cstheme="majorBidi"/>
        </w:rPr>
        <w:t>translation by Dr. Berger</w:t>
      </w:r>
      <w:r w:rsidR="00CB01EA" w:rsidRPr="009C02D4">
        <w:rPr>
          <w:rFonts w:asciiTheme="majorBidi" w:hAnsiTheme="majorBidi" w:cstheme="majorBidi"/>
        </w:rPr>
        <w:t xml:space="preserve"> (</w:t>
      </w:r>
      <w:proofErr w:type="spellStart"/>
      <w:r w:rsidR="00CB01EA" w:rsidRPr="009C02D4">
        <w:rPr>
          <w:rFonts w:asciiTheme="majorBidi" w:hAnsiTheme="majorBidi" w:cstheme="majorBidi"/>
        </w:rPr>
        <w:t>Tosafot</w:t>
      </w:r>
      <w:proofErr w:type="spellEnd"/>
      <w:r w:rsidR="00CB01EA" w:rsidRPr="009C02D4">
        <w:rPr>
          <w:rFonts w:asciiTheme="majorBidi" w:hAnsiTheme="majorBidi" w:cstheme="majorBidi"/>
        </w:rPr>
        <w:t xml:space="preserve"> in Sanhedrin)</w:t>
      </w:r>
      <w:r w:rsidR="00CD5AF0" w:rsidRPr="009C02D4">
        <w:rPr>
          <w:rFonts w:asciiTheme="majorBidi" w:hAnsiTheme="majorBidi" w:cstheme="majorBidi"/>
        </w:rPr>
        <w:t xml:space="preserve">, with the additions of R. </w:t>
      </w:r>
      <w:proofErr w:type="spellStart"/>
      <w:r w:rsidR="00CD5AF0" w:rsidRPr="009C02D4">
        <w:rPr>
          <w:rFonts w:asciiTheme="majorBidi" w:hAnsiTheme="majorBidi" w:cstheme="majorBidi"/>
        </w:rPr>
        <w:t>Yerucham</w:t>
      </w:r>
      <w:proofErr w:type="spellEnd"/>
      <w:r w:rsidR="00CD5AF0" w:rsidRPr="009C02D4">
        <w:rPr>
          <w:rFonts w:asciiTheme="majorBidi" w:hAnsiTheme="majorBidi" w:cstheme="majorBidi"/>
        </w:rPr>
        <w:t xml:space="preserve"> – see how that may have changed the meaning.</w:t>
      </w:r>
    </w:p>
    <w:p w14:paraId="2C8ECE6E" w14:textId="4B449990" w:rsidR="00624AC2" w:rsidRPr="009C02D4" w:rsidRDefault="00624AC2" w:rsidP="00624AC2">
      <w:pPr>
        <w:pStyle w:val="ListParagraph"/>
        <w:ind w:left="1440"/>
        <w:jc w:val="right"/>
        <w:rPr>
          <w:rFonts w:asciiTheme="majorBidi" w:hAnsiTheme="majorBidi" w:cstheme="majorBidi"/>
          <w:b/>
          <w:bCs/>
          <w:rtl/>
        </w:rPr>
      </w:pPr>
      <w:r w:rsidRPr="009C02D4">
        <w:rPr>
          <w:rFonts w:asciiTheme="majorBidi" w:hAnsiTheme="majorBidi" w:cstheme="majorBidi"/>
          <w:b/>
          <w:bCs/>
          <w:rtl/>
        </w:rPr>
        <w:t>תוספות סהדרין סג עמוד ב</w:t>
      </w:r>
    </w:p>
    <w:p w14:paraId="6BBAE1AB" w14:textId="5338F359" w:rsidR="001C7F97" w:rsidRPr="009C02D4" w:rsidRDefault="001C7F97" w:rsidP="001C7F97">
      <w:pPr>
        <w:bidi/>
        <w:rPr>
          <w:rFonts w:asciiTheme="majorBidi" w:hAnsiTheme="majorBidi" w:cstheme="majorBidi"/>
        </w:rPr>
      </w:pPr>
      <w:r w:rsidRPr="009C02D4">
        <w:rPr>
          <w:rFonts w:asciiTheme="majorBidi" w:hAnsiTheme="majorBidi" w:cstheme="majorBidi"/>
          <w:rtl/>
        </w:rPr>
        <w:t xml:space="preserve"> ואף על גב דהתם ספק והכא ודאי מ"מ בזמן הזה כולן נשבעים בקדשים שלהן ואין תופסין בהם אלהות ואף על פי שמה שמזכירין עמהם ש"ש וכוונתם לדבר אחר מ"מ אין זה שם עבודת כוכבים גם דעתם לעושה שמים ואף על פי שמשתפין שם שמים ודבר אחר לא אשכחן דאסור לגרום לאחרים לשתף ולפני עור ליכא דבני נח לא הוזהרו על כך</w:t>
      </w:r>
      <w:r w:rsidRPr="009C02D4">
        <w:rPr>
          <w:rFonts w:asciiTheme="majorBidi" w:hAnsiTheme="majorBidi" w:cstheme="majorBidi"/>
        </w:rPr>
        <w:t>.</w:t>
      </w:r>
    </w:p>
    <w:p w14:paraId="0827D566" w14:textId="77777777" w:rsidR="00CB01EA" w:rsidRPr="009C02D4" w:rsidRDefault="00CB01EA" w:rsidP="00CB01EA">
      <w:pPr>
        <w:autoSpaceDE w:val="0"/>
        <w:autoSpaceDN w:val="0"/>
        <w:adjustRightInd w:val="0"/>
        <w:spacing w:after="0" w:line="240" w:lineRule="auto"/>
        <w:rPr>
          <w:rFonts w:asciiTheme="majorBidi" w:hAnsiTheme="majorBidi" w:cstheme="majorBidi"/>
          <w:b/>
          <w:bCs/>
          <w:sz w:val="24"/>
          <w:szCs w:val="24"/>
          <w:u w:val="single"/>
        </w:rPr>
      </w:pPr>
      <w:r w:rsidRPr="009C02D4">
        <w:rPr>
          <w:rFonts w:asciiTheme="majorBidi" w:hAnsiTheme="majorBidi" w:cstheme="majorBidi"/>
          <w:b/>
          <w:bCs/>
          <w:sz w:val="24"/>
          <w:szCs w:val="24"/>
          <w:u w:val="single"/>
        </w:rPr>
        <w:t xml:space="preserve">Translation of </w:t>
      </w:r>
      <w:proofErr w:type="spellStart"/>
      <w:r w:rsidRPr="009C02D4">
        <w:rPr>
          <w:rFonts w:asciiTheme="majorBidi" w:hAnsiTheme="majorBidi" w:cstheme="majorBidi"/>
          <w:b/>
          <w:bCs/>
          <w:sz w:val="24"/>
          <w:szCs w:val="24"/>
          <w:u w:val="single"/>
        </w:rPr>
        <w:t>Tosafot</w:t>
      </w:r>
      <w:proofErr w:type="spellEnd"/>
      <w:r w:rsidRPr="009C02D4">
        <w:rPr>
          <w:rFonts w:asciiTheme="majorBidi" w:hAnsiTheme="majorBidi" w:cstheme="majorBidi"/>
          <w:b/>
          <w:bCs/>
          <w:sz w:val="24"/>
          <w:szCs w:val="24"/>
          <w:u w:val="single"/>
        </w:rPr>
        <w:t xml:space="preserve"> Provided by Dr. David Berger</w:t>
      </w:r>
    </w:p>
    <w:p w14:paraId="7B326984" w14:textId="77777777" w:rsidR="00CB01EA" w:rsidRPr="009C02D4" w:rsidRDefault="00CB01EA" w:rsidP="00CB01EA">
      <w:pPr>
        <w:autoSpaceDE w:val="0"/>
        <w:autoSpaceDN w:val="0"/>
        <w:adjustRightInd w:val="0"/>
        <w:spacing w:after="0" w:line="240" w:lineRule="auto"/>
        <w:rPr>
          <w:rFonts w:asciiTheme="majorBidi" w:hAnsiTheme="majorBidi" w:cstheme="majorBidi"/>
          <w:sz w:val="24"/>
          <w:szCs w:val="24"/>
        </w:rPr>
      </w:pPr>
      <w:r w:rsidRPr="009C02D4">
        <w:rPr>
          <w:rFonts w:asciiTheme="majorBidi" w:hAnsiTheme="majorBidi" w:cstheme="majorBidi"/>
          <w:sz w:val="24"/>
          <w:szCs w:val="24"/>
        </w:rPr>
        <w:t>It is permissible to accept an oath from a Gentile because] in these days they all swear in the</w:t>
      </w:r>
    </w:p>
    <w:p w14:paraId="5806E763" w14:textId="77777777" w:rsidR="00CB01EA" w:rsidRPr="009C02D4" w:rsidRDefault="00CB01EA" w:rsidP="00CB01EA">
      <w:pPr>
        <w:autoSpaceDE w:val="0"/>
        <w:autoSpaceDN w:val="0"/>
        <w:adjustRightInd w:val="0"/>
        <w:spacing w:after="0" w:line="240" w:lineRule="auto"/>
        <w:rPr>
          <w:rFonts w:asciiTheme="majorBidi" w:hAnsiTheme="majorBidi" w:cstheme="majorBidi"/>
          <w:sz w:val="24"/>
          <w:szCs w:val="24"/>
        </w:rPr>
      </w:pPr>
      <w:r w:rsidRPr="009C02D4">
        <w:rPr>
          <w:rFonts w:asciiTheme="majorBidi" w:hAnsiTheme="majorBidi" w:cstheme="majorBidi"/>
          <w:sz w:val="24"/>
          <w:szCs w:val="24"/>
        </w:rPr>
        <w:t>name of their saints, to whom they do not attribute Divinity. And even though they mention the</w:t>
      </w:r>
    </w:p>
    <w:p w14:paraId="1BE79350" w14:textId="77777777" w:rsidR="00CB01EA" w:rsidRPr="009C02D4" w:rsidRDefault="00CB01EA" w:rsidP="00CB01EA">
      <w:pPr>
        <w:autoSpaceDE w:val="0"/>
        <w:autoSpaceDN w:val="0"/>
        <w:adjustRightInd w:val="0"/>
        <w:spacing w:after="0" w:line="240" w:lineRule="auto"/>
        <w:rPr>
          <w:rFonts w:asciiTheme="majorBidi" w:hAnsiTheme="majorBidi" w:cstheme="majorBidi"/>
          <w:sz w:val="24"/>
          <w:szCs w:val="24"/>
        </w:rPr>
      </w:pPr>
      <w:r w:rsidRPr="009C02D4">
        <w:rPr>
          <w:rFonts w:asciiTheme="majorBidi" w:hAnsiTheme="majorBidi" w:cstheme="majorBidi"/>
          <w:sz w:val="24"/>
          <w:szCs w:val="24"/>
        </w:rPr>
        <w:t xml:space="preserve">name of heaven along with them and their intention is to something else [R. </w:t>
      </w:r>
      <w:proofErr w:type="spellStart"/>
      <w:r w:rsidRPr="009C02D4">
        <w:rPr>
          <w:rFonts w:asciiTheme="majorBidi" w:hAnsiTheme="majorBidi" w:cstheme="majorBidi"/>
          <w:sz w:val="24"/>
          <w:szCs w:val="24"/>
        </w:rPr>
        <w:t>Yeruham</w:t>
      </w:r>
      <w:proofErr w:type="spellEnd"/>
      <w:r w:rsidRPr="009C02D4">
        <w:rPr>
          <w:rFonts w:asciiTheme="majorBidi" w:hAnsiTheme="majorBidi" w:cstheme="majorBidi"/>
          <w:sz w:val="24"/>
          <w:szCs w:val="24"/>
        </w:rPr>
        <w:t>: “to Jesus</w:t>
      </w:r>
    </w:p>
    <w:p w14:paraId="1E0B2F71" w14:textId="77777777" w:rsidR="00CB01EA" w:rsidRPr="009C02D4" w:rsidRDefault="00CB01EA" w:rsidP="00CB01EA">
      <w:pPr>
        <w:autoSpaceDE w:val="0"/>
        <w:autoSpaceDN w:val="0"/>
        <w:adjustRightInd w:val="0"/>
        <w:spacing w:after="0" w:line="240" w:lineRule="auto"/>
        <w:rPr>
          <w:rFonts w:asciiTheme="majorBidi" w:hAnsiTheme="majorBidi" w:cstheme="majorBidi"/>
          <w:sz w:val="24"/>
          <w:szCs w:val="24"/>
        </w:rPr>
      </w:pPr>
      <w:r w:rsidRPr="009C02D4">
        <w:rPr>
          <w:rFonts w:asciiTheme="majorBidi" w:hAnsiTheme="majorBidi" w:cstheme="majorBidi"/>
          <w:sz w:val="24"/>
          <w:szCs w:val="24"/>
        </w:rPr>
        <w:t xml:space="preserve">of Nazareth”], this is still not [R. </w:t>
      </w:r>
      <w:proofErr w:type="spellStart"/>
      <w:r w:rsidRPr="009C02D4">
        <w:rPr>
          <w:rFonts w:asciiTheme="majorBidi" w:hAnsiTheme="majorBidi" w:cstheme="majorBidi"/>
          <w:sz w:val="24"/>
          <w:szCs w:val="24"/>
        </w:rPr>
        <w:t>Yeruham</w:t>
      </w:r>
      <w:proofErr w:type="spellEnd"/>
      <w:r w:rsidRPr="009C02D4">
        <w:rPr>
          <w:rFonts w:asciiTheme="majorBidi" w:hAnsiTheme="majorBidi" w:cstheme="majorBidi"/>
          <w:sz w:val="24"/>
          <w:szCs w:val="24"/>
        </w:rPr>
        <w:t>: “still, they do not mention”] the name of idolatry;</w:t>
      </w:r>
    </w:p>
    <w:p w14:paraId="2E27D18D" w14:textId="77777777" w:rsidR="00CB01EA" w:rsidRPr="009C02D4" w:rsidRDefault="00CB01EA" w:rsidP="00CB01EA">
      <w:pPr>
        <w:autoSpaceDE w:val="0"/>
        <w:autoSpaceDN w:val="0"/>
        <w:adjustRightInd w:val="0"/>
        <w:spacing w:after="0" w:line="240" w:lineRule="auto"/>
        <w:rPr>
          <w:rFonts w:asciiTheme="majorBidi" w:hAnsiTheme="majorBidi" w:cstheme="majorBidi"/>
          <w:sz w:val="24"/>
          <w:szCs w:val="24"/>
        </w:rPr>
      </w:pPr>
      <w:r w:rsidRPr="009C02D4">
        <w:rPr>
          <w:rFonts w:asciiTheme="majorBidi" w:hAnsiTheme="majorBidi" w:cstheme="majorBidi"/>
          <w:sz w:val="24"/>
          <w:szCs w:val="24"/>
        </w:rPr>
        <w:t xml:space="preserve">moreover, their intention is to the Creator of heaven [R. </w:t>
      </w:r>
      <w:proofErr w:type="spellStart"/>
      <w:r w:rsidRPr="009C02D4">
        <w:rPr>
          <w:rFonts w:asciiTheme="majorBidi" w:hAnsiTheme="majorBidi" w:cstheme="majorBidi"/>
          <w:sz w:val="24"/>
          <w:szCs w:val="24"/>
        </w:rPr>
        <w:t>Yeruham</w:t>
      </w:r>
      <w:proofErr w:type="spellEnd"/>
      <w:r w:rsidRPr="009C02D4">
        <w:rPr>
          <w:rFonts w:asciiTheme="majorBidi" w:hAnsiTheme="majorBidi" w:cstheme="majorBidi"/>
          <w:sz w:val="24"/>
          <w:szCs w:val="24"/>
        </w:rPr>
        <w:t xml:space="preserve"> adds: and earth]. And even</w:t>
      </w:r>
    </w:p>
    <w:p w14:paraId="489EDD59" w14:textId="77777777" w:rsidR="00CB01EA" w:rsidRPr="009C02D4" w:rsidRDefault="00CB01EA" w:rsidP="00CB01EA">
      <w:pPr>
        <w:autoSpaceDE w:val="0"/>
        <w:autoSpaceDN w:val="0"/>
        <w:adjustRightInd w:val="0"/>
        <w:spacing w:after="0" w:line="240" w:lineRule="auto"/>
        <w:rPr>
          <w:rFonts w:asciiTheme="majorBidi" w:hAnsiTheme="majorBidi" w:cstheme="majorBidi"/>
          <w:sz w:val="24"/>
          <w:szCs w:val="24"/>
        </w:rPr>
      </w:pPr>
      <w:r w:rsidRPr="009C02D4">
        <w:rPr>
          <w:rFonts w:asciiTheme="majorBidi" w:hAnsiTheme="majorBidi" w:cstheme="majorBidi"/>
          <w:sz w:val="24"/>
          <w:szCs w:val="24"/>
        </w:rPr>
        <w:t>though they associate the name of heaven with something else, we do not find that it is forbidden</w:t>
      </w:r>
    </w:p>
    <w:p w14:paraId="119E71FB" w14:textId="77777777" w:rsidR="00CB01EA" w:rsidRPr="009C02D4" w:rsidRDefault="00CB01EA" w:rsidP="00CB01EA">
      <w:pPr>
        <w:autoSpaceDE w:val="0"/>
        <w:autoSpaceDN w:val="0"/>
        <w:adjustRightInd w:val="0"/>
        <w:spacing w:after="0" w:line="240" w:lineRule="auto"/>
        <w:rPr>
          <w:rFonts w:asciiTheme="majorBidi" w:hAnsiTheme="majorBidi" w:cstheme="majorBidi"/>
          <w:sz w:val="24"/>
          <w:szCs w:val="24"/>
        </w:rPr>
      </w:pPr>
      <w:r w:rsidRPr="009C02D4">
        <w:rPr>
          <w:rFonts w:asciiTheme="majorBidi" w:hAnsiTheme="majorBidi" w:cstheme="majorBidi"/>
          <w:sz w:val="24"/>
          <w:szCs w:val="24"/>
        </w:rPr>
        <w:t>to cause someone else to associate, and the prohibition of not causing a blind man to stumble [i.e.</w:t>
      </w:r>
    </w:p>
    <w:p w14:paraId="06876B13" w14:textId="77777777" w:rsidR="00CB01EA" w:rsidRPr="009C02D4" w:rsidRDefault="00CB01EA" w:rsidP="00CB01EA">
      <w:pPr>
        <w:autoSpaceDE w:val="0"/>
        <w:autoSpaceDN w:val="0"/>
        <w:adjustRightInd w:val="0"/>
        <w:spacing w:after="0" w:line="240" w:lineRule="auto"/>
        <w:rPr>
          <w:rFonts w:asciiTheme="majorBidi" w:hAnsiTheme="majorBidi" w:cstheme="majorBidi"/>
          <w:sz w:val="24"/>
          <w:szCs w:val="24"/>
        </w:rPr>
      </w:pPr>
      <w:r w:rsidRPr="009C02D4">
        <w:rPr>
          <w:rFonts w:asciiTheme="majorBidi" w:hAnsiTheme="majorBidi" w:cstheme="majorBidi"/>
          <w:sz w:val="24"/>
          <w:szCs w:val="24"/>
        </w:rPr>
        <w:t>not causing someone to sin] is not applicable, for Noahides were not commanded regarding this</w:t>
      </w:r>
    </w:p>
    <w:p w14:paraId="142376EC" w14:textId="77777777" w:rsidR="00CB01EA" w:rsidRPr="009C02D4" w:rsidRDefault="00CB01EA" w:rsidP="00CB01EA">
      <w:pPr>
        <w:bidi/>
        <w:jc w:val="right"/>
        <w:rPr>
          <w:rFonts w:asciiTheme="majorBidi" w:hAnsiTheme="majorBidi" w:cstheme="majorBidi"/>
        </w:rPr>
      </w:pPr>
      <w:r w:rsidRPr="009C02D4">
        <w:rPr>
          <w:rFonts w:asciiTheme="majorBidi" w:hAnsiTheme="majorBidi" w:cstheme="majorBidi"/>
          <w:sz w:val="24"/>
          <w:szCs w:val="24"/>
        </w:rPr>
        <w:t xml:space="preserve">[R. </w:t>
      </w:r>
      <w:proofErr w:type="spellStart"/>
      <w:r w:rsidRPr="009C02D4">
        <w:rPr>
          <w:rFonts w:asciiTheme="majorBidi" w:hAnsiTheme="majorBidi" w:cstheme="majorBidi"/>
          <w:sz w:val="24"/>
          <w:szCs w:val="24"/>
        </w:rPr>
        <w:t>Yeruham</w:t>
      </w:r>
      <w:proofErr w:type="spellEnd"/>
      <w:r w:rsidRPr="009C02D4">
        <w:rPr>
          <w:rFonts w:asciiTheme="majorBidi" w:hAnsiTheme="majorBidi" w:cstheme="majorBidi"/>
          <w:sz w:val="24"/>
          <w:szCs w:val="24"/>
        </w:rPr>
        <w:t>: “regarding association]</w:t>
      </w:r>
    </w:p>
    <w:p w14:paraId="3D4529CB" w14:textId="77777777" w:rsidR="009C02D4" w:rsidRPr="009C02D4" w:rsidRDefault="009C02D4" w:rsidP="009C02D4">
      <w:pPr>
        <w:pStyle w:val="NoSpacing"/>
        <w:bidi/>
        <w:rPr>
          <w:rFonts w:asciiTheme="majorBidi" w:hAnsiTheme="majorBidi" w:cstheme="majorBidi"/>
          <w:b/>
          <w:bCs/>
        </w:rPr>
      </w:pPr>
      <w:r w:rsidRPr="009C02D4">
        <w:rPr>
          <w:rFonts w:asciiTheme="majorBidi" w:hAnsiTheme="majorBidi" w:cstheme="majorBidi"/>
          <w:b/>
          <w:bCs/>
          <w:rtl/>
        </w:rPr>
        <w:t>תוספות מסכת בכורות דף ב עמוד ב</w:t>
      </w:r>
    </w:p>
    <w:p w14:paraId="2161300F" w14:textId="6D8DECAA" w:rsidR="009C02D4" w:rsidRPr="009C02D4" w:rsidRDefault="009C02D4" w:rsidP="009C02D4">
      <w:pPr>
        <w:pStyle w:val="NoSpacing"/>
        <w:bidi/>
        <w:rPr>
          <w:rFonts w:asciiTheme="majorBidi" w:hAnsiTheme="majorBidi" w:cstheme="majorBidi"/>
        </w:rPr>
      </w:pPr>
      <w:r w:rsidRPr="009C02D4">
        <w:rPr>
          <w:rFonts w:asciiTheme="majorBidi" w:hAnsiTheme="majorBidi" w:cstheme="majorBidi"/>
          <w:u w:val="single"/>
          <w:rtl/>
        </w:rPr>
        <w:t>אסור לאדם שיעשה שותפות עם העובד כוכבים</w:t>
      </w:r>
      <w:r w:rsidRPr="009C02D4">
        <w:rPr>
          <w:rFonts w:asciiTheme="majorBidi" w:hAnsiTheme="majorBidi" w:cstheme="majorBidi"/>
          <w:rtl/>
        </w:rPr>
        <w:t xml:space="preserve"> - הא דתניא פ"ק דמסכת ע"ז (דף כב.) ישראל ועובד כוכבים שקבלו שדה בשותפות וכן עובדא דעובד כוכבים נוטל שני ערלה וישראל נוטל שני היתר ואמר פרק הזרוע (חולין דף קלג.) המשתתף עם עובד כוכבים צריך שירשום כל הני עובדא פליגי אאבוה דשמואל.</w:t>
      </w:r>
    </w:p>
    <w:p w14:paraId="78BD1F54" w14:textId="77777777" w:rsidR="009C02D4" w:rsidRPr="009C02D4" w:rsidRDefault="009C02D4" w:rsidP="009C02D4">
      <w:pPr>
        <w:pStyle w:val="NoSpacing"/>
        <w:bidi/>
        <w:rPr>
          <w:rFonts w:asciiTheme="majorBidi" w:hAnsiTheme="majorBidi" w:cstheme="majorBidi"/>
        </w:rPr>
      </w:pPr>
    </w:p>
    <w:p w14:paraId="287D64BA" w14:textId="77777777" w:rsidR="009C02D4" w:rsidRPr="009C02D4" w:rsidRDefault="009C02D4" w:rsidP="009C02D4">
      <w:pPr>
        <w:pStyle w:val="NoSpacing"/>
        <w:bidi/>
        <w:rPr>
          <w:rFonts w:asciiTheme="majorBidi" w:hAnsiTheme="majorBidi" w:cstheme="majorBidi"/>
        </w:rPr>
      </w:pPr>
      <w:r w:rsidRPr="009C02D4">
        <w:rPr>
          <w:rFonts w:asciiTheme="majorBidi" w:hAnsiTheme="majorBidi" w:cstheme="majorBidi"/>
          <w:u w:val="single"/>
          <w:rtl/>
        </w:rPr>
        <w:t xml:space="preserve">  שמא יתחייב לו עובד כוכבים שבועה</w:t>
      </w:r>
      <w:r w:rsidRPr="009C02D4">
        <w:rPr>
          <w:rFonts w:asciiTheme="majorBidi" w:hAnsiTheme="majorBidi" w:cstheme="majorBidi"/>
          <w:rtl/>
        </w:rPr>
        <w:t xml:space="preserve"> - מכאן אוסר רבינו שמואל קבלת השבועה מק"ו ור"ת מתיר מפני שהוא כמציל מידם כדתניא פ"ק דמס' ע"ז (דף ו:) מלוה על פה גובין מהן מפני שהוא כמציל מידם אע"ג דאזיל ומודה ויש לחלק בין ספק לודאי עוד מייתי ר"ת ראיה מההיא דפרק [בתרא] דמגילה (דף כח.) דאמר אבוה בר איהי תיתי לי דלא עבדי שותפות עם עובד כוכבים ואי אסור מאי רבותיה וכן פר"ת שלא היו נזהרים משלש סעודות מדאמר פרק כל כתבי (שבת דף קיח:) תיתי לי דקיימית ג' סעודות משמע שכולן לא היו נזהרים בהן עוד פר"ת בזמן הזה כולן נשבעים בקדשים ואין תופסין בהם אלהות ואע"פ שמזכירין [עמהם] שם שמים וכוונתם [לד"א מ"מ] אין זה [שם] עבודת כוכבים כי דעתם לשם עושה שמים וארץ ואע"ג שמשתתף ש"ש ודבר אחר אין כאן לפני עור לא תתן מכשול דבני נח לא הוזהרו על כך ולדידן לא אשכחן איסור בגרם שיתוף.</w:t>
      </w:r>
    </w:p>
    <w:p w14:paraId="4ADC8003" w14:textId="77777777" w:rsidR="00CB01EA" w:rsidRPr="009C02D4" w:rsidRDefault="00CB01EA" w:rsidP="00CB01EA">
      <w:pPr>
        <w:bidi/>
        <w:rPr>
          <w:rFonts w:asciiTheme="majorBidi" w:hAnsiTheme="majorBidi" w:cstheme="majorBidi"/>
        </w:rPr>
      </w:pPr>
    </w:p>
    <w:p w14:paraId="6A6EAEBD" w14:textId="26E8CDB7" w:rsidR="00624AC2" w:rsidRPr="009C02D4" w:rsidRDefault="00624AC2" w:rsidP="00624AC2">
      <w:pPr>
        <w:pStyle w:val="ListParagraph"/>
        <w:numPr>
          <w:ilvl w:val="1"/>
          <w:numId w:val="1"/>
        </w:numPr>
        <w:rPr>
          <w:rFonts w:asciiTheme="majorBidi" w:hAnsiTheme="majorBidi" w:cstheme="majorBidi"/>
        </w:rPr>
      </w:pPr>
      <w:r w:rsidRPr="009C02D4">
        <w:rPr>
          <w:rFonts w:asciiTheme="majorBidi" w:hAnsiTheme="majorBidi" w:cstheme="majorBidi"/>
        </w:rPr>
        <w:t xml:space="preserve">How do Rama and </w:t>
      </w:r>
      <w:proofErr w:type="spellStart"/>
      <w:r w:rsidRPr="009C02D4">
        <w:rPr>
          <w:rFonts w:asciiTheme="majorBidi" w:hAnsiTheme="majorBidi" w:cstheme="majorBidi"/>
        </w:rPr>
        <w:t>Shach</w:t>
      </w:r>
      <w:proofErr w:type="spellEnd"/>
      <w:r w:rsidRPr="009C02D4">
        <w:rPr>
          <w:rFonts w:asciiTheme="majorBidi" w:hAnsiTheme="majorBidi" w:cstheme="majorBidi"/>
        </w:rPr>
        <w:t xml:space="preserve"> understand </w:t>
      </w:r>
      <w:proofErr w:type="spellStart"/>
      <w:r w:rsidRPr="009C02D4">
        <w:rPr>
          <w:rFonts w:asciiTheme="majorBidi" w:hAnsiTheme="majorBidi" w:cstheme="majorBidi"/>
        </w:rPr>
        <w:t>Tosafot</w:t>
      </w:r>
      <w:proofErr w:type="spellEnd"/>
      <w:r w:rsidRPr="009C02D4">
        <w:rPr>
          <w:rFonts w:asciiTheme="majorBidi" w:hAnsiTheme="majorBidi" w:cstheme="majorBidi"/>
        </w:rPr>
        <w:t>?</w:t>
      </w:r>
    </w:p>
    <w:p w14:paraId="35567365" w14:textId="77777777" w:rsidR="00624AC2" w:rsidRPr="009C02D4" w:rsidRDefault="00624AC2" w:rsidP="00624AC2">
      <w:pPr>
        <w:bidi/>
        <w:rPr>
          <w:rFonts w:asciiTheme="majorBidi" w:hAnsiTheme="majorBidi" w:cstheme="majorBidi"/>
          <w:b/>
          <w:bCs/>
          <w:sz w:val="24"/>
          <w:szCs w:val="24"/>
        </w:rPr>
      </w:pPr>
      <w:r w:rsidRPr="009C02D4">
        <w:rPr>
          <w:rFonts w:asciiTheme="majorBidi" w:hAnsiTheme="majorBidi" w:cstheme="majorBidi"/>
          <w:b/>
          <w:bCs/>
          <w:sz w:val="24"/>
          <w:szCs w:val="24"/>
          <w:rtl/>
        </w:rPr>
        <w:t>שולחן ערוך אורח חיים הלכות בית הכנסת סימן קנו</w:t>
      </w:r>
    </w:p>
    <w:p w14:paraId="5095CA6C" w14:textId="77777777" w:rsidR="00624AC2" w:rsidRPr="009C02D4" w:rsidRDefault="00624AC2" w:rsidP="00624AC2">
      <w:pPr>
        <w:bidi/>
        <w:rPr>
          <w:rFonts w:asciiTheme="majorBidi" w:hAnsiTheme="majorBidi" w:cstheme="majorBidi"/>
          <w:sz w:val="24"/>
          <w:szCs w:val="24"/>
        </w:rPr>
      </w:pPr>
      <w:r w:rsidRPr="009C02D4">
        <w:rPr>
          <w:rFonts w:asciiTheme="majorBidi" w:hAnsiTheme="majorBidi" w:cstheme="majorBidi"/>
          <w:sz w:val="24"/>
          <w:szCs w:val="24"/>
          <w:rtl/>
        </w:rPr>
        <w:t xml:space="preserve">הגה: ויש מקילין בעשיית שותפות עם הכותים בזמה"ז, משום שאין הכותים בזמן הזה נשבעים בע"א, ואע"ג דמזכירין הע"ז, מ"מ כוונתם לעושה שמים וארץ אלא שמשתפים שם שמים וד"א, ולא מצינו שיש בזה משום: ולפני עור לא תתן מכשול (ויקרא יט, יד) דהרי אינם מוזהרין על השתוף (ר"ן ספ"ק דע"ז ור' ירוחם ני"ז ח"ה ותוס' ריש פ"ק דבכורות); ולשאת ולתת עמהם בלא שותפות, לכ"ע שרי בלא יום חגיהם (הגהות מיימוני פ"ק מהלכות ע"ז) (ועיין בי"ד מהלכות ע"א סי' קמ"ו).     </w:t>
      </w:r>
    </w:p>
    <w:p w14:paraId="22611FEA" w14:textId="77777777" w:rsidR="00624AC2" w:rsidRPr="009C02D4" w:rsidRDefault="00624AC2" w:rsidP="00624AC2">
      <w:pPr>
        <w:bidi/>
        <w:rPr>
          <w:rFonts w:asciiTheme="majorBidi" w:hAnsiTheme="majorBidi" w:cstheme="majorBidi"/>
          <w:b/>
          <w:bCs/>
          <w:sz w:val="24"/>
          <w:szCs w:val="24"/>
        </w:rPr>
      </w:pPr>
      <w:r w:rsidRPr="009C02D4">
        <w:rPr>
          <w:rFonts w:asciiTheme="majorBidi" w:hAnsiTheme="majorBidi" w:cstheme="majorBidi"/>
          <w:b/>
          <w:bCs/>
          <w:sz w:val="24"/>
          <w:szCs w:val="24"/>
          <w:rtl/>
        </w:rPr>
        <w:lastRenderedPageBreak/>
        <w:t>ש"ך יורה דעה סימן קנא</w:t>
      </w:r>
    </w:p>
    <w:p w14:paraId="03120EAE" w14:textId="77777777" w:rsidR="00624AC2" w:rsidRPr="009C02D4" w:rsidRDefault="00624AC2" w:rsidP="00624AC2">
      <w:pPr>
        <w:bidi/>
        <w:rPr>
          <w:rFonts w:asciiTheme="majorBidi" w:hAnsiTheme="majorBidi" w:cstheme="majorBidi"/>
          <w:sz w:val="24"/>
          <w:szCs w:val="24"/>
          <w:rtl/>
        </w:rPr>
      </w:pPr>
      <w:r w:rsidRPr="009C02D4">
        <w:rPr>
          <w:rFonts w:asciiTheme="majorBidi" w:hAnsiTheme="majorBidi" w:cstheme="majorBidi"/>
          <w:sz w:val="24"/>
          <w:szCs w:val="24"/>
          <w:rtl/>
        </w:rPr>
        <w:t xml:space="preserve">  ז ונהגו להקל - לשון ד"מ מיהו בזמן הזה יש להקל מטעם דמקילין להשתתף עמהם עכ"ל ר"ל כמ"ש בא"ח ס"ס קנ"ז דבזמן הזה מותר להשתתף עמהם שכוונתם לעושה שמים וארץ אלא שמשתפים שם שמים ודבר אחר ולא מצינו שיש בזה משום לפני עור שאין בני נח מוזהרין על השתוף וה"ה הכא:</w:t>
      </w:r>
    </w:p>
    <w:p w14:paraId="7B704FFC" w14:textId="7408BC05" w:rsidR="001C7F97" w:rsidRPr="009C02D4" w:rsidRDefault="00822886" w:rsidP="00822886">
      <w:pPr>
        <w:pStyle w:val="ListParagraph"/>
        <w:numPr>
          <w:ilvl w:val="1"/>
          <w:numId w:val="1"/>
        </w:numPr>
        <w:rPr>
          <w:rFonts w:asciiTheme="majorBidi" w:hAnsiTheme="majorBidi" w:cstheme="majorBidi"/>
        </w:rPr>
      </w:pPr>
      <w:r w:rsidRPr="009C02D4">
        <w:rPr>
          <w:rFonts w:asciiTheme="majorBidi" w:hAnsiTheme="majorBidi" w:cstheme="majorBidi"/>
        </w:rPr>
        <w:t xml:space="preserve">How does the son of the Noda </w:t>
      </w:r>
      <w:proofErr w:type="spellStart"/>
      <w:r w:rsidRPr="009C02D4">
        <w:rPr>
          <w:rFonts w:asciiTheme="majorBidi" w:hAnsiTheme="majorBidi" w:cstheme="majorBidi"/>
        </w:rPr>
        <w:t>B’Yehuda</w:t>
      </w:r>
      <w:proofErr w:type="spellEnd"/>
      <w:r w:rsidRPr="009C02D4">
        <w:rPr>
          <w:rFonts w:asciiTheme="majorBidi" w:hAnsiTheme="majorBidi" w:cstheme="majorBidi"/>
        </w:rPr>
        <w:t xml:space="preserve">, cited in </w:t>
      </w:r>
      <w:proofErr w:type="spellStart"/>
      <w:r w:rsidRPr="009C02D4">
        <w:rPr>
          <w:rFonts w:asciiTheme="majorBidi" w:hAnsiTheme="majorBidi" w:cstheme="majorBidi"/>
        </w:rPr>
        <w:t>Pitchei</w:t>
      </w:r>
      <w:proofErr w:type="spellEnd"/>
      <w:r w:rsidRPr="009C02D4">
        <w:rPr>
          <w:rFonts w:asciiTheme="majorBidi" w:hAnsiTheme="majorBidi" w:cstheme="majorBidi"/>
        </w:rPr>
        <w:t xml:space="preserve"> Teshuva, understand </w:t>
      </w:r>
      <w:proofErr w:type="spellStart"/>
      <w:r w:rsidRPr="009C02D4">
        <w:rPr>
          <w:rFonts w:asciiTheme="majorBidi" w:hAnsiTheme="majorBidi" w:cstheme="majorBidi"/>
        </w:rPr>
        <w:t>Tosafot</w:t>
      </w:r>
      <w:proofErr w:type="spellEnd"/>
      <w:r w:rsidRPr="009C02D4">
        <w:rPr>
          <w:rFonts w:asciiTheme="majorBidi" w:hAnsiTheme="majorBidi" w:cstheme="majorBidi"/>
        </w:rPr>
        <w:t>?</w:t>
      </w:r>
    </w:p>
    <w:p w14:paraId="60B9FDCA" w14:textId="77777777" w:rsidR="00822886" w:rsidRPr="009C02D4" w:rsidRDefault="00822886" w:rsidP="005F15F7">
      <w:pPr>
        <w:pStyle w:val="NoSpacing"/>
        <w:bidi/>
        <w:rPr>
          <w:rFonts w:asciiTheme="majorBidi" w:hAnsiTheme="majorBidi" w:cstheme="majorBidi"/>
          <w:b/>
          <w:bCs/>
        </w:rPr>
      </w:pPr>
      <w:r w:rsidRPr="009C02D4">
        <w:rPr>
          <w:rFonts w:asciiTheme="majorBidi" w:hAnsiTheme="majorBidi" w:cstheme="majorBidi"/>
          <w:b/>
          <w:bCs/>
          <w:rtl/>
        </w:rPr>
        <w:t>פתחי תשובה יורה דעה סימן קמז</w:t>
      </w:r>
    </w:p>
    <w:p w14:paraId="5A4A09CB" w14:textId="77777777" w:rsidR="00822886" w:rsidRPr="009C02D4" w:rsidRDefault="00822886" w:rsidP="005F15F7">
      <w:pPr>
        <w:pStyle w:val="NoSpacing"/>
        <w:bidi/>
        <w:rPr>
          <w:rFonts w:asciiTheme="majorBidi" w:hAnsiTheme="majorBidi" w:cstheme="majorBidi"/>
          <w:rtl/>
        </w:rPr>
      </w:pPr>
      <w:r w:rsidRPr="009C02D4">
        <w:rPr>
          <w:rFonts w:asciiTheme="majorBidi" w:hAnsiTheme="majorBidi" w:cstheme="majorBidi"/>
          <w:rtl/>
        </w:rPr>
        <w:t xml:space="preserve">    (ב) בא"ח סי' קנ"ו - דשם כתב בהגהה ויש מקילין בשותפות עם העובד כוכבים משום שאינם נשבעין בעבודת כוכבים כו' אלא משתפים ש"ש ודבר אחר ולא מצינו שיש בזה משום לפ"ע דהרי אינם מוזהרים על השיתוף ועי' בתשובת נודע ביהודה תניינא חלק יו"ד סוף סי' קמ"ח שהאריך להוכיח מה דמרגלא בפומייהו דאינשי שאין העובדי כוכבים מצווים על השיתוף הוא טעות ויצא להם זה מלשון הרמ"א הנ"ל ובאמת כוונת הרמ"א דמה שמשתף בשבועה שאינו אומר אלי אתה רק שמזכירו בשבועתו עם ש"ש בזה מצינו איסור לישראל דכתיב ובשמו תשבעו אבל עובדי כוכבים אין מוזהרים ע"ז אבל כשעובד עבודת כוכבים בשיתוף אין חילוק כלל בין ישראל לעובד כוכבים ע"ש וכ"כ בתשובת מעיל צדקה סימן כ"כ ע"ש וכ"כ בתשובת שער אפרים וכן מצאתי בפמ"ג לעיל סימן ס"ה בשפ"ד סוף ס"ק מ"ה ע"ש ולע"ד אף שהאמת כן הוא מ"מ אי אפשר לומר כן בדעת הרמ"א ז"ל דמדבריו בד"מ לקמן סימן קנ"א המובא בש"ך שם סק"ז מבואר להיפך ע"ש ועיין בספר משנת חכמים ריש הלכות יסוה"ת סוף לאו א' שהביא דהגאון מהור"ר ישעיה בערלין זצ"ל מברעסלא כתב אליו בדבר זה והאריך בעוצם ידו דאין ב"נ מוזהר כלל על השיתוף וגם הוא ז"ל השיב לו באריכות וגוף הפלפול שהיה ביניהם לא נזכר שם:</w:t>
      </w:r>
    </w:p>
    <w:p w14:paraId="106CE7DA" w14:textId="57F7C2CB" w:rsidR="004A5C0D" w:rsidRPr="009C02D4" w:rsidRDefault="005F15F7" w:rsidP="00D279A9">
      <w:pPr>
        <w:rPr>
          <w:rFonts w:asciiTheme="majorBidi" w:hAnsiTheme="majorBidi" w:cstheme="majorBidi"/>
        </w:rPr>
      </w:pPr>
      <w:r w:rsidRPr="009C02D4">
        <w:rPr>
          <w:rFonts w:asciiTheme="majorBidi" w:hAnsiTheme="majorBidi" w:cstheme="majorBidi"/>
        </w:rPr>
        <w:t xml:space="preserve">d. See how vehemently the </w:t>
      </w:r>
      <w:proofErr w:type="spellStart"/>
      <w:r w:rsidRPr="009C02D4">
        <w:rPr>
          <w:rFonts w:asciiTheme="majorBidi" w:hAnsiTheme="majorBidi" w:cstheme="majorBidi"/>
        </w:rPr>
        <w:t>Rav</w:t>
      </w:r>
      <w:proofErr w:type="spellEnd"/>
      <w:r w:rsidRPr="009C02D4">
        <w:rPr>
          <w:rFonts w:asciiTheme="majorBidi" w:hAnsiTheme="majorBidi" w:cstheme="majorBidi"/>
        </w:rPr>
        <w:t xml:space="preserve"> (Nefesh </w:t>
      </w:r>
      <w:proofErr w:type="spellStart"/>
      <w:r w:rsidRPr="009C02D4">
        <w:rPr>
          <w:rFonts w:asciiTheme="majorBidi" w:hAnsiTheme="majorBidi" w:cstheme="majorBidi"/>
        </w:rPr>
        <w:t>HaRav</w:t>
      </w:r>
      <w:proofErr w:type="spellEnd"/>
      <w:r w:rsidRPr="009C02D4">
        <w:rPr>
          <w:rFonts w:asciiTheme="majorBidi" w:hAnsiTheme="majorBidi" w:cstheme="majorBidi"/>
        </w:rPr>
        <w:t xml:space="preserve"> 230) rejected the Rama!</w:t>
      </w:r>
    </w:p>
    <w:p w14:paraId="56F8C428" w14:textId="2A27A8C4" w:rsidR="005F15F7" w:rsidRPr="009C02D4" w:rsidRDefault="005F15F7" w:rsidP="00607D01">
      <w:pPr>
        <w:bidi/>
        <w:rPr>
          <w:rFonts w:asciiTheme="majorBidi" w:hAnsiTheme="majorBidi" w:cstheme="majorBidi"/>
        </w:rPr>
      </w:pPr>
      <w:r w:rsidRPr="009C02D4">
        <w:rPr>
          <w:rFonts w:asciiTheme="majorBidi" w:hAnsiTheme="majorBidi" w:cstheme="majorBidi"/>
          <w:noProof/>
        </w:rPr>
        <w:drawing>
          <wp:inline distT="0" distB="0" distL="0" distR="0" wp14:anchorId="156A936E" wp14:editId="2F2767D9">
            <wp:extent cx="3376500" cy="94447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46047" cy="963930"/>
                    </a:xfrm>
                    <a:prstGeom prst="rect">
                      <a:avLst/>
                    </a:prstGeom>
                  </pic:spPr>
                </pic:pic>
              </a:graphicData>
            </a:graphic>
          </wp:inline>
        </w:drawing>
      </w:r>
    </w:p>
    <w:p w14:paraId="4E823CEC" w14:textId="17150153" w:rsidR="004A5029" w:rsidRPr="009C02D4" w:rsidRDefault="004A5029" w:rsidP="004A5029">
      <w:pPr>
        <w:pStyle w:val="ListParagraph"/>
        <w:numPr>
          <w:ilvl w:val="0"/>
          <w:numId w:val="1"/>
        </w:numPr>
        <w:rPr>
          <w:rFonts w:asciiTheme="majorBidi" w:hAnsiTheme="majorBidi" w:cstheme="majorBidi"/>
        </w:rPr>
      </w:pPr>
      <w:proofErr w:type="spellStart"/>
      <w:r w:rsidRPr="009C02D4">
        <w:rPr>
          <w:rFonts w:asciiTheme="majorBidi" w:hAnsiTheme="majorBidi" w:cstheme="majorBidi"/>
        </w:rPr>
        <w:t>Meiri</w:t>
      </w:r>
      <w:proofErr w:type="spellEnd"/>
    </w:p>
    <w:p w14:paraId="1BE09024" w14:textId="2A16CB2C" w:rsidR="00E43D2C" w:rsidRPr="009C02D4" w:rsidRDefault="00E43D2C" w:rsidP="00E43D2C">
      <w:pPr>
        <w:pStyle w:val="ListParagraph"/>
        <w:numPr>
          <w:ilvl w:val="1"/>
          <w:numId w:val="1"/>
        </w:numPr>
        <w:rPr>
          <w:rFonts w:asciiTheme="majorBidi" w:hAnsiTheme="majorBidi" w:cstheme="majorBidi"/>
        </w:rPr>
      </w:pPr>
      <w:r w:rsidRPr="009C02D4">
        <w:rPr>
          <w:rFonts w:asciiTheme="majorBidi" w:hAnsiTheme="majorBidi" w:cstheme="majorBidi"/>
        </w:rPr>
        <w:t xml:space="preserve">The </w:t>
      </w:r>
      <w:proofErr w:type="spellStart"/>
      <w:r w:rsidRPr="009C02D4">
        <w:rPr>
          <w:rFonts w:asciiTheme="majorBidi" w:hAnsiTheme="majorBidi" w:cstheme="majorBidi"/>
        </w:rPr>
        <w:t>Meiri</w:t>
      </w:r>
      <w:proofErr w:type="spellEnd"/>
      <w:r w:rsidRPr="009C02D4">
        <w:rPr>
          <w:rFonts w:asciiTheme="majorBidi" w:hAnsiTheme="majorBidi" w:cstheme="majorBidi"/>
        </w:rPr>
        <w:t xml:space="preserve"> has very controversial position</w:t>
      </w:r>
      <w:r w:rsidR="00A42699" w:rsidRPr="009C02D4">
        <w:rPr>
          <w:rFonts w:asciiTheme="majorBidi" w:hAnsiTheme="majorBidi" w:cstheme="majorBidi"/>
        </w:rPr>
        <w:t>, which is hard to parse precisely.  Here are a few passages.  What do you think he means?</w:t>
      </w:r>
    </w:p>
    <w:p w14:paraId="0C6DE09F" w14:textId="77777777" w:rsidR="00E43D2C" w:rsidRPr="009C02D4" w:rsidRDefault="00E43D2C" w:rsidP="00E43D2C">
      <w:pPr>
        <w:pStyle w:val="NoSpacing"/>
        <w:bidi/>
        <w:rPr>
          <w:rFonts w:asciiTheme="majorBidi" w:hAnsiTheme="majorBidi" w:cstheme="majorBidi"/>
          <w:b/>
          <w:bCs/>
        </w:rPr>
      </w:pPr>
      <w:r w:rsidRPr="009C02D4">
        <w:rPr>
          <w:rFonts w:asciiTheme="majorBidi" w:hAnsiTheme="majorBidi" w:cstheme="majorBidi"/>
          <w:b/>
          <w:bCs/>
          <w:rtl/>
        </w:rPr>
        <w:t>בית הבחירה למאירי מסכת עבודה זרה דף ב עמוד א</w:t>
      </w:r>
    </w:p>
    <w:p w14:paraId="6E4EDFBE" w14:textId="752CCB63" w:rsidR="00E43D2C" w:rsidRPr="009C02D4" w:rsidRDefault="00E43D2C" w:rsidP="00E43D2C">
      <w:pPr>
        <w:pStyle w:val="NoSpacing"/>
        <w:bidi/>
        <w:rPr>
          <w:rFonts w:asciiTheme="majorBidi" w:hAnsiTheme="majorBidi" w:cstheme="majorBidi"/>
          <w:u w:val="single"/>
        </w:rPr>
      </w:pPr>
      <w:r w:rsidRPr="009C02D4">
        <w:rPr>
          <w:rFonts w:asciiTheme="majorBidi" w:hAnsiTheme="majorBidi" w:cstheme="majorBidi"/>
          <w:rtl/>
        </w:rPr>
        <w:t xml:space="preserve">והרי מנהג ההיתר אף ביום האיד הוא ומתוך כך עקר הדברים נראה לי שדברים אלו כלם לא נאמרו אלא על עובדי האלילים וצורותיהם וצלמיהם </w:t>
      </w:r>
      <w:r w:rsidRPr="009C02D4">
        <w:rPr>
          <w:rFonts w:asciiTheme="majorBidi" w:hAnsiTheme="majorBidi" w:cstheme="majorBidi"/>
          <w:u w:val="single"/>
          <w:rtl/>
        </w:rPr>
        <w:t>אבל בזמנים הללו מותר לגמרי ומה שאמרו בגמ' נצרי לעולם אסור אני מפרשו מלשון נוצרים באים מארץ מרחק האמור בירמיה שקרא אותם העם נוצרים על שם נבוכד נצר וידוע שצלם השמש היה בבבל ושכל עם נבוכדנצר היו עובדים לו וכבר ידעת שהחמה משמשת ביום ראשון כענין ראשי ימים ומתוך כך היו קורין לאותו יום נצרי על שם שהיה קבוע לנבוכד נצר על צד ממשלת חמה שבו והדברים נראין וברורים:</w:t>
      </w:r>
    </w:p>
    <w:p w14:paraId="7B15BFD9" w14:textId="77777777" w:rsidR="00E43D2C" w:rsidRPr="009C02D4" w:rsidRDefault="00E43D2C" w:rsidP="00E43D2C">
      <w:pPr>
        <w:pStyle w:val="NoSpacing"/>
        <w:bidi/>
        <w:rPr>
          <w:rFonts w:asciiTheme="majorBidi" w:hAnsiTheme="majorBidi" w:cstheme="majorBidi"/>
        </w:rPr>
      </w:pPr>
    </w:p>
    <w:p w14:paraId="3D99B655" w14:textId="185B2135" w:rsidR="004A5029" w:rsidRPr="009C02D4" w:rsidRDefault="004A5029" w:rsidP="00E43D2C">
      <w:pPr>
        <w:pStyle w:val="NoSpacing"/>
        <w:bidi/>
        <w:rPr>
          <w:rFonts w:asciiTheme="majorBidi" w:hAnsiTheme="majorBidi" w:cstheme="majorBidi"/>
          <w:b/>
          <w:bCs/>
        </w:rPr>
      </w:pPr>
      <w:r w:rsidRPr="009C02D4">
        <w:rPr>
          <w:rFonts w:asciiTheme="majorBidi" w:hAnsiTheme="majorBidi" w:cstheme="majorBidi"/>
          <w:b/>
          <w:bCs/>
          <w:rtl/>
        </w:rPr>
        <w:t>בית הבחירה למאירי מסכת הוריות דף יא עמוד א</w:t>
      </w:r>
    </w:p>
    <w:p w14:paraId="6A717B85" w14:textId="6F019E24" w:rsidR="00EC3884" w:rsidRDefault="004A5029" w:rsidP="00EC3884">
      <w:pPr>
        <w:pStyle w:val="NoSpacing"/>
        <w:bidi/>
        <w:rPr>
          <w:rFonts w:asciiTheme="majorBidi" w:hAnsiTheme="majorBidi" w:cstheme="majorBidi"/>
        </w:rPr>
      </w:pPr>
      <w:r w:rsidRPr="009C02D4">
        <w:rPr>
          <w:rFonts w:asciiTheme="majorBidi" w:hAnsiTheme="majorBidi" w:cstheme="majorBidi"/>
          <w:rtl/>
        </w:rPr>
        <w:t>המינין והאפיקורסים מותר להזיקם בידים והמסורות גופם מותר וממונם אסור והמשומד לע"ז בכלל המינים הוא ודברים אלו כלם כשעדיין שם ישראל עליהם שכל ששם ישראל עליו והוא מתפקר ומחלל את הדת ענשו חמור עד הרבה מפני שנעשה מין וכמי שאין לו דת הא כל מי שיצא מן הכלל לגמרי ונעשה לו בן דת אחרת הרי הוא אצלינו כבני אותה הדת שהוא נכנס בה לכל דבר חוץ מגיטין וקדושין וזיקתם כמו שיתבאר במקומו וכן הורו רבותי</w:t>
      </w:r>
    </w:p>
    <w:p w14:paraId="2C1CBF71" w14:textId="65E92F56" w:rsidR="00EC3884" w:rsidRDefault="00EC3884" w:rsidP="00EC3884">
      <w:pPr>
        <w:pStyle w:val="NoSpacing"/>
        <w:bidi/>
        <w:rPr>
          <w:rFonts w:asciiTheme="majorBidi" w:hAnsiTheme="majorBidi" w:cstheme="majorBidi"/>
        </w:rPr>
      </w:pPr>
    </w:p>
    <w:p w14:paraId="3DC9D58D" w14:textId="04514C1A" w:rsidR="00EC3884" w:rsidRDefault="00EC3884" w:rsidP="00EC3884">
      <w:pPr>
        <w:pStyle w:val="NoSpacing"/>
        <w:numPr>
          <w:ilvl w:val="1"/>
          <w:numId w:val="1"/>
        </w:numPr>
        <w:rPr>
          <w:rFonts w:asciiTheme="majorBidi" w:hAnsiTheme="majorBidi" w:cstheme="majorBidi"/>
        </w:rPr>
      </w:pPr>
      <w:r>
        <w:rPr>
          <w:rFonts w:asciiTheme="majorBidi" w:hAnsiTheme="majorBidi" w:cstheme="majorBidi"/>
        </w:rPr>
        <w:t xml:space="preserve">Beer </w:t>
      </w:r>
      <w:proofErr w:type="spellStart"/>
      <w:r>
        <w:rPr>
          <w:rFonts w:asciiTheme="majorBidi" w:hAnsiTheme="majorBidi" w:cstheme="majorBidi"/>
        </w:rPr>
        <w:t>HaGolah</w:t>
      </w:r>
      <w:proofErr w:type="spellEnd"/>
      <w:r w:rsidR="00607D01">
        <w:rPr>
          <w:rFonts w:asciiTheme="majorBidi" w:hAnsiTheme="majorBidi" w:cstheme="majorBidi"/>
        </w:rPr>
        <w:t xml:space="preserve"> (translation by Dr. Jacob Katz)</w:t>
      </w:r>
      <w:r w:rsidR="00B53FDE">
        <w:rPr>
          <w:rFonts w:asciiTheme="majorBidi" w:hAnsiTheme="majorBidi" w:cstheme="majorBidi"/>
        </w:rPr>
        <w:t xml:space="preserve"> – CM 525</w:t>
      </w:r>
    </w:p>
    <w:p w14:paraId="5473F27E" w14:textId="65AA6128" w:rsidR="00EC3884" w:rsidRDefault="00EC3884" w:rsidP="00EC3884">
      <w:pPr>
        <w:pStyle w:val="NoSpacing"/>
        <w:numPr>
          <w:ilvl w:val="2"/>
          <w:numId w:val="1"/>
        </w:numPr>
        <w:rPr>
          <w:rFonts w:asciiTheme="majorBidi" w:hAnsiTheme="majorBidi" w:cstheme="majorBidi"/>
        </w:rPr>
      </w:pPr>
      <w:r>
        <w:rPr>
          <w:rFonts w:asciiTheme="majorBidi" w:hAnsiTheme="majorBidi" w:cstheme="majorBidi"/>
        </w:rPr>
        <w:t>See this position</w:t>
      </w:r>
      <w:r w:rsidR="00607D01">
        <w:rPr>
          <w:rFonts w:asciiTheme="majorBidi" w:hAnsiTheme="majorBidi" w:cstheme="majorBidi"/>
        </w:rPr>
        <w:t xml:space="preserve">, which is </w:t>
      </w:r>
      <w:proofErr w:type="gramStart"/>
      <w:r w:rsidR="00607D01">
        <w:rPr>
          <w:rFonts w:asciiTheme="majorBidi" w:hAnsiTheme="majorBidi" w:cstheme="majorBidi"/>
        </w:rPr>
        <w:t>similar to</w:t>
      </w:r>
      <w:proofErr w:type="gramEnd"/>
      <w:r w:rsidR="00607D01">
        <w:rPr>
          <w:rFonts w:asciiTheme="majorBidi" w:hAnsiTheme="majorBidi" w:cstheme="majorBidi"/>
        </w:rPr>
        <w:t xml:space="preserve"> what is attributed to the above.  </w:t>
      </w:r>
    </w:p>
    <w:tbl>
      <w:tblPr>
        <w:tblStyle w:val="TableGrid"/>
        <w:tblW w:w="0" w:type="auto"/>
        <w:tblLook w:val="04A0" w:firstRow="1" w:lastRow="0" w:firstColumn="1" w:lastColumn="0" w:noHBand="0" w:noVBand="1"/>
      </w:tblPr>
      <w:tblGrid>
        <w:gridCol w:w="5362"/>
        <w:gridCol w:w="5428"/>
      </w:tblGrid>
      <w:tr w:rsidR="00B53FDE" w14:paraId="26A36056" w14:textId="77777777" w:rsidTr="00B53FDE">
        <w:tc>
          <w:tcPr>
            <w:tcW w:w="5395" w:type="dxa"/>
          </w:tcPr>
          <w:p w14:paraId="14BDB714" w14:textId="246B3ED0" w:rsidR="00B53FDE" w:rsidRDefault="00B53FDE" w:rsidP="00B53FDE">
            <w:pPr>
              <w:pStyle w:val="NoSpacing"/>
              <w:rPr>
                <w:rFonts w:asciiTheme="majorBidi" w:hAnsiTheme="majorBidi" w:cstheme="majorBidi"/>
              </w:rPr>
            </w:pPr>
            <w:r>
              <w:rPr>
                <w:noProof/>
              </w:rPr>
              <w:drawing>
                <wp:inline distT="0" distB="0" distL="0" distR="0" wp14:anchorId="415571ED" wp14:editId="528DF398">
                  <wp:extent cx="3338347" cy="1152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59257" cy="1159744"/>
                          </a:xfrm>
                          <a:prstGeom prst="rect">
                            <a:avLst/>
                          </a:prstGeom>
                        </pic:spPr>
                      </pic:pic>
                    </a:graphicData>
                  </a:graphic>
                </wp:inline>
              </w:drawing>
            </w:r>
          </w:p>
        </w:tc>
        <w:tc>
          <w:tcPr>
            <w:tcW w:w="5395" w:type="dxa"/>
          </w:tcPr>
          <w:p w14:paraId="4D252FB0" w14:textId="27B06639" w:rsidR="00B53FDE" w:rsidRDefault="00B53FDE" w:rsidP="00B53FDE">
            <w:pPr>
              <w:pStyle w:val="NoSpacing"/>
              <w:rPr>
                <w:rFonts w:asciiTheme="majorBidi" w:hAnsiTheme="majorBidi" w:cstheme="majorBidi"/>
              </w:rPr>
            </w:pPr>
            <w:r>
              <w:rPr>
                <w:noProof/>
              </w:rPr>
              <w:drawing>
                <wp:inline distT="0" distB="0" distL="0" distR="0" wp14:anchorId="354E5733" wp14:editId="17F2857E">
                  <wp:extent cx="3381375" cy="15693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11967" cy="1583544"/>
                          </a:xfrm>
                          <a:prstGeom prst="rect">
                            <a:avLst/>
                          </a:prstGeom>
                        </pic:spPr>
                      </pic:pic>
                    </a:graphicData>
                  </a:graphic>
                </wp:inline>
              </w:drawing>
            </w:r>
          </w:p>
        </w:tc>
      </w:tr>
    </w:tbl>
    <w:p w14:paraId="400BC743" w14:textId="46E704CF" w:rsidR="00B53FDE" w:rsidRPr="009C02D4" w:rsidRDefault="00B53FDE" w:rsidP="00607D01">
      <w:pPr>
        <w:pStyle w:val="NoSpacing"/>
        <w:rPr>
          <w:rFonts w:asciiTheme="majorBidi" w:hAnsiTheme="majorBidi" w:cstheme="majorBidi"/>
        </w:rPr>
      </w:pPr>
      <w:bookmarkStart w:id="0" w:name="_GoBack"/>
      <w:bookmarkEnd w:id="0"/>
    </w:p>
    <w:sectPr w:rsidR="00B53FDE" w:rsidRPr="009C02D4" w:rsidSect="00822886">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F149F" w14:textId="77777777" w:rsidR="00C21670" w:rsidRDefault="00C21670" w:rsidP="00C21670">
      <w:pPr>
        <w:spacing w:after="0" w:line="240" w:lineRule="auto"/>
      </w:pPr>
      <w:r>
        <w:separator/>
      </w:r>
    </w:p>
  </w:endnote>
  <w:endnote w:type="continuationSeparator" w:id="0">
    <w:p w14:paraId="246B7785" w14:textId="77777777" w:rsidR="00C21670" w:rsidRDefault="00C21670" w:rsidP="00C21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613AC" w14:textId="77777777" w:rsidR="00C21670" w:rsidRDefault="00C21670" w:rsidP="00C21670">
      <w:pPr>
        <w:spacing w:after="0" w:line="240" w:lineRule="auto"/>
      </w:pPr>
      <w:r>
        <w:separator/>
      </w:r>
    </w:p>
  </w:footnote>
  <w:footnote w:type="continuationSeparator" w:id="0">
    <w:p w14:paraId="2D62DD7F" w14:textId="77777777" w:rsidR="00C21670" w:rsidRDefault="00C21670" w:rsidP="00C21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584A2" w14:textId="5EAEB807" w:rsidR="00C21670" w:rsidRDefault="00C21670" w:rsidP="00C21670">
    <w:pPr>
      <w:pStyle w:val="Header"/>
      <w:jc w:val="center"/>
    </w:pPr>
    <w:proofErr w:type="spellStart"/>
    <w:r>
      <w:t>Avodah</w:t>
    </w:r>
    <w:proofErr w:type="spellEnd"/>
    <w:r>
      <w:t xml:space="preserve"> Zara Shiur </w:t>
    </w:r>
    <w:r>
      <w:t>9</w:t>
    </w:r>
    <w:r>
      <w:tab/>
      <w:t>R. Jonathan Ziring</w:t>
    </w:r>
    <w:r>
      <w:tab/>
      <w:t>jziring@migdalhatorah.org</w:t>
    </w:r>
  </w:p>
  <w:p w14:paraId="23EE1212" w14:textId="77777777" w:rsidR="00C21670" w:rsidRDefault="00C21670" w:rsidP="00C21670">
    <w:pPr>
      <w:pStyle w:val="Header"/>
    </w:pPr>
  </w:p>
  <w:p w14:paraId="36A1253A" w14:textId="77777777" w:rsidR="00C21670" w:rsidRDefault="00C21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5328C"/>
    <w:multiLevelType w:val="hybridMultilevel"/>
    <w:tmpl w:val="A88C955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97"/>
    <w:rsid w:val="00014DAA"/>
    <w:rsid w:val="00044B7B"/>
    <w:rsid w:val="001C7F97"/>
    <w:rsid w:val="002940E3"/>
    <w:rsid w:val="004A5029"/>
    <w:rsid w:val="004B4E13"/>
    <w:rsid w:val="004E7332"/>
    <w:rsid w:val="005C35E7"/>
    <w:rsid w:val="005F15F7"/>
    <w:rsid w:val="00607D01"/>
    <w:rsid w:val="00624AC2"/>
    <w:rsid w:val="00786B40"/>
    <w:rsid w:val="00822886"/>
    <w:rsid w:val="00976F16"/>
    <w:rsid w:val="009C02D4"/>
    <w:rsid w:val="009E4FF3"/>
    <w:rsid w:val="00A42699"/>
    <w:rsid w:val="00B4078E"/>
    <w:rsid w:val="00B53FDE"/>
    <w:rsid w:val="00C21670"/>
    <w:rsid w:val="00C91FF8"/>
    <w:rsid w:val="00CB01EA"/>
    <w:rsid w:val="00CD5AF0"/>
    <w:rsid w:val="00D279A9"/>
    <w:rsid w:val="00D72AC7"/>
    <w:rsid w:val="00DA783D"/>
    <w:rsid w:val="00E43D2C"/>
    <w:rsid w:val="00EC3884"/>
    <w:rsid w:val="00F57856"/>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A5B58"/>
  <w15:chartTrackingRefBased/>
  <w15:docId w15:val="{F5D44DCB-0712-489D-85B4-A4A7B707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F16"/>
    <w:pPr>
      <w:ind w:left="720"/>
      <w:contextualSpacing/>
    </w:pPr>
  </w:style>
  <w:style w:type="paragraph" w:styleId="NoSpacing">
    <w:name w:val="No Spacing"/>
    <w:uiPriority w:val="1"/>
    <w:qFormat/>
    <w:rsid w:val="005F15F7"/>
    <w:pPr>
      <w:spacing w:after="0" w:line="240" w:lineRule="auto"/>
    </w:pPr>
  </w:style>
  <w:style w:type="paragraph" w:styleId="Header">
    <w:name w:val="header"/>
    <w:basedOn w:val="Normal"/>
    <w:link w:val="HeaderChar"/>
    <w:uiPriority w:val="99"/>
    <w:unhideWhenUsed/>
    <w:rsid w:val="00C21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670"/>
  </w:style>
  <w:style w:type="paragraph" w:styleId="Footer">
    <w:name w:val="footer"/>
    <w:basedOn w:val="Normal"/>
    <w:link w:val="FooterChar"/>
    <w:uiPriority w:val="99"/>
    <w:unhideWhenUsed/>
    <w:rsid w:val="00C21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670"/>
  </w:style>
  <w:style w:type="table" w:styleId="TableGrid">
    <w:name w:val="Table Grid"/>
    <w:basedOn w:val="TableNormal"/>
    <w:uiPriority w:val="39"/>
    <w:rsid w:val="00B53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3572</TotalTime>
  <Pages>2</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26</cp:revision>
  <dcterms:created xsi:type="dcterms:W3CDTF">2018-10-04T05:46:00Z</dcterms:created>
  <dcterms:modified xsi:type="dcterms:W3CDTF">2018-10-09T14:20:00Z</dcterms:modified>
</cp:coreProperties>
</file>