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C21B" w14:textId="4B58253B" w:rsidR="001F4BE0" w:rsidRPr="00972B58" w:rsidRDefault="0086563B" w:rsidP="001F4B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ResponsaTTF" w:hAnsi="Times New Roman" w:cs="ResponsaTTF"/>
          <w:b/>
          <w:bCs/>
          <w:color w:val="000000"/>
          <w:sz w:val="24"/>
          <w:szCs w:val="24"/>
          <w:rtl/>
          <w:lang w:bidi="he-IL"/>
        </w:rPr>
      </w:pPr>
      <w:r w:rsidRPr="00972B58">
        <w:rPr>
          <w:rFonts w:ascii="ResponsaTTF" w:hAnsi="Times New Roman" w:cs="ResponsaTTF" w:hint="cs"/>
          <w:b/>
          <w:bCs/>
          <w:color w:val="000000"/>
          <w:sz w:val="24"/>
          <w:szCs w:val="24"/>
          <w:rtl/>
          <w:lang w:bidi="he-IL"/>
        </w:rPr>
        <w:t xml:space="preserve">אור התורה- </w:t>
      </w:r>
      <w:r w:rsidR="002E1616">
        <w:rPr>
          <w:rFonts w:ascii="ResponsaTTF" w:hAnsi="Times New Roman" w:cs="ResponsaTTF" w:hint="cs"/>
          <w:b/>
          <w:bCs/>
          <w:color w:val="000000"/>
          <w:sz w:val="24"/>
          <w:szCs w:val="24"/>
          <w:rtl/>
          <w:lang w:bidi="he-IL"/>
        </w:rPr>
        <w:t>חוה"מ סוכות</w:t>
      </w:r>
      <w:r w:rsidR="001F4BE0" w:rsidRPr="00972B58">
        <w:rPr>
          <w:rFonts w:ascii="ResponsaTTF" w:hAnsi="Times New Roman" w:cs="ResponsaTTF" w:hint="cs"/>
          <w:b/>
          <w:bCs/>
          <w:color w:val="000000"/>
          <w:sz w:val="24"/>
          <w:szCs w:val="24"/>
          <w:rtl/>
          <w:lang w:bidi="he-IL"/>
        </w:rPr>
        <w:t xml:space="preserve"> תש</w:t>
      </w:r>
      <w:r w:rsidR="00D754B3" w:rsidRPr="00972B58">
        <w:rPr>
          <w:rFonts w:ascii="ResponsaTTF" w:hAnsi="Times New Roman" w:cs="ResponsaTTF" w:hint="cs"/>
          <w:b/>
          <w:bCs/>
          <w:color w:val="000000"/>
          <w:sz w:val="24"/>
          <w:szCs w:val="24"/>
          <w:rtl/>
          <w:lang w:bidi="he-IL"/>
        </w:rPr>
        <w:t>פ</w:t>
      </w:r>
      <w:r w:rsidR="00115B5B" w:rsidRPr="00972B58">
        <w:rPr>
          <w:rFonts w:ascii="ResponsaTTF" w:hAnsi="Times New Roman" w:cs="ResponsaTTF" w:hint="cs"/>
          <w:b/>
          <w:bCs/>
          <w:color w:val="000000"/>
          <w:sz w:val="24"/>
          <w:szCs w:val="24"/>
          <w:rtl/>
          <w:lang w:bidi="he-IL"/>
        </w:rPr>
        <w:t>"א</w:t>
      </w:r>
    </w:p>
    <w:p w14:paraId="76796B2F" w14:textId="77777777" w:rsidR="001F4BE0" w:rsidRPr="00972B58" w:rsidRDefault="00627E43" w:rsidP="001F4B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ResponsaTTF" w:hAnsi="Times New Roman" w:cs="ResponsaTTF"/>
          <w:i/>
          <w:iCs/>
          <w:color w:val="000000"/>
          <w:sz w:val="24"/>
          <w:szCs w:val="24"/>
          <w:rtl/>
          <w:lang w:bidi="he-IL"/>
        </w:rPr>
      </w:pPr>
      <w:r w:rsidRPr="00972B58">
        <w:rPr>
          <w:rFonts w:ascii="ResponsaTTF" w:hAnsi="Times New Roman" w:cs="ResponsaTTF" w:hint="cs"/>
          <w:i/>
          <w:iCs/>
          <w:color w:val="000000"/>
          <w:sz w:val="24"/>
          <w:szCs w:val="24"/>
          <w:rtl/>
          <w:lang w:bidi="he-IL"/>
        </w:rPr>
        <w:t>הרב צבי סבל</w:t>
      </w:r>
      <w:r w:rsidR="001F4BE0" w:rsidRPr="00972B58">
        <w:rPr>
          <w:rFonts w:ascii="ResponsaTTF" w:hAnsi="Times New Roman" w:cs="ResponsaTTF" w:hint="cs"/>
          <w:i/>
          <w:iCs/>
          <w:color w:val="000000"/>
          <w:sz w:val="24"/>
          <w:szCs w:val="24"/>
          <w:rtl/>
          <w:lang w:bidi="he-IL"/>
        </w:rPr>
        <w:t xml:space="preserve">פסקי </w:t>
      </w:r>
    </w:p>
    <w:p w14:paraId="2B11E110" w14:textId="77777777" w:rsidR="001F4BE0" w:rsidRPr="00972B58" w:rsidRDefault="001F4BE0" w:rsidP="001F4BE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ResponsaTTF" w:hAnsi="Times New Roman" w:cs="ResponsaTTF"/>
          <w:i/>
          <w:iCs/>
          <w:color w:val="000000"/>
          <w:sz w:val="24"/>
          <w:szCs w:val="24"/>
          <w:u w:val="single"/>
          <w:rtl/>
          <w:lang w:bidi="he-IL"/>
        </w:rPr>
      </w:pPr>
    </w:p>
    <w:p w14:paraId="67F3E75F" w14:textId="4FE7B265" w:rsidR="001F4BE0" w:rsidRPr="00972B58" w:rsidRDefault="00D754B3" w:rsidP="001F4BE0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ResponsaTTF"/>
          <w:b/>
          <w:bCs/>
          <w:color w:val="000000"/>
          <w:sz w:val="24"/>
          <w:szCs w:val="24"/>
          <w:u w:val="single"/>
          <w:lang w:bidi="he-IL"/>
        </w:rPr>
      </w:pPr>
      <w:proofErr w:type="spellStart"/>
      <w:r w:rsidRPr="00972B58">
        <w:rPr>
          <w:rFonts w:ascii="ResponsaTTF" w:hAnsi="Times New Roman" w:cs="ResponsaTTF" w:hint="cs"/>
          <w:b/>
          <w:bCs/>
          <w:color w:val="000000"/>
          <w:sz w:val="24"/>
          <w:szCs w:val="24"/>
          <w:u w:val="single"/>
          <w:rtl/>
          <w:lang w:bidi="he-IL"/>
        </w:rPr>
        <w:t>בענין</w:t>
      </w:r>
      <w:proofErr w:type="spellEnd"/>
      <w:r w:rsidRPr="00972B58">
        <w:rPr>
          <w:rFonts w:ascii="ResponsaTTF" w:hAnsi="Times New Roman" w:cs="ResponsaTTF" w:hint="cs"/>
          <w:b/>
          <w:bCs/>
          <w:color w:val="000000"/>
          <w:sz w:val="24"/>
          <w:szCs w:val="24"/>
          <w:u w:val="single"/>
          <w:rtl/>
          <w:lang w:bidi="he-IL"/>
        </w:rPr>
        <w:t xml:space="preserve"> </w:t>
      </w:r>
      <w:r w:rsidR="002E1616">
        <w:rPr>
          <w:rFonts w:ascii="ResponsaTTF" w:hAnsi="Times New Roman" w:cs="ResponsaTTF" w:hint="cs"/>
          <w:b/>
          <w:bCs/>
          <w:color w:val="000000"/>
          <w:sz w:val="24"/>
          <w:szCs w:val="24"/>
          <w:u w:val="single"/>
          <w:rtl/>
          <w:lang w:bidi="he-IL"/>
        </w:rPr>
        <w:t>צורת הפתח בדפנות הסוכה</w:t>
      </w:r>
    </w:p>
    <w:p w14:paraId="13000912" w14:textId="77777777" w:rsidR="001F4BE0" w:rsidRPr="00972B58" w:rsidRDefault="001F4BE0" w:rsidP="001F4BE0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</w:pPr>
    </w:p>
    <w:p w14:paraId="0368BE0D" w14:textId="77777777" w:rsidR="00A9098C" w:rsidRPr="00972B58" w:rsidRDefault="00A9098C" w:rsidP="00A9098C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</w:pPr>
    </w:p>
    <w:p w14:paraId="024BA2FD" w14:textId="77777777" w:rsidR="002E1616" w:rsidRPr="002E1616" w:rsidRDefault="001F4BE0" w:rsidP="002E161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1. </w:t>
      </w:r>
      <w:r w:rsidR="002E1616" w:rsidRPr="002E1616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תלמוד בבלי מסכת סוכה דף ו עמוד ב</w:t>
      </w:r>
    </w:p>
    <w:p w14:paraId="0F3B06CE" w14:textId="64561E93" w:rsidR="002E1616" w:rsidRDefault="002E1616" w:rsidP="002E161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תנו רבנן: שתים כהלכתן, ושלישית אפילו טפח.</w:t>
      </w:r>
    </w:p>
    <w:p w14:paraId="56DFD1E1" w14:textId="638394D4" w:rsidR="002E1616" w:rsidRDefault="002E1616" w:rsidP="002E161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3AD04E3C" w14:textId="63D45576" w:rsidR="002E1616" w:rsidRDefault="002E161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ואתאי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הלכתא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וגרעתה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לשלישית,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ואוקמה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אטפח.</w:t>
      </w:r>
    </w:p>
    <w:p w14:paraId="63DF795D" w14:textId="0F3FDB66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1FD0A023" w14:textId="77777777" w:rsidR="001744C6" w:rsidRP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069829E7" w14:textId="77777777" w:rsidR="002E1616" w:rsidRPr="002E1616" w:rsidRDefault="001F4BE0" w:rsidP="002E161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2. </w:t>
      </w:r>
      <w:r w:rsidR="002E1616" w:rsidRPr="002E1616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תלמוד בבלי מסכת סוכה דף ז עמוד א</w:t>
      </w:r>
    </w:p>
    <w:p w14:paraId="3E5872A7" w14:textId="77777777" w:rsidR="002E1616" w:rsidRPr="002E1616" w:rsidRDefault="002E1616" w:rsidP="002E161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אמר רבא: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וצריכא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נמי צורת הפתח.</w:t>
      </w:r>
    </w:p>
    <w:p w14:paraId="616B552D" w14:textId="77777777" w:rsidR="002E1616" w:rsidRDefault="002E1616" w:rsidP="002E161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</w:pPr>
    </w:p>
    <w:p w14:paraId="2658796F" w14:textId="3FFCA3C6" w:rsidR="002E1616" w:rsidRPr="002E1616" w:rsidRDefault="002E1616" w:rsidP="002E161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2E1616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רש"י</w:t>
      </w:r>
    </w:p>
    <w:p w14:paraId="29B418A0" w14:textId="28D6DA30" w:rsidR="002E1616" w:rsidRDefault="002E161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וצריכא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נמי צורת הפתח - משמע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דתרוייהו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בעינן; טפח אצל היוצא, וקנה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בזוית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שכנגדו, וקנה שעל גביהם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קאי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מטפח זה לקנה של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זוית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.</w:t>
      </w:r>
    </w:p>
    <w:p w14:paraId="557D28E5" w14:textId="3D96C1A4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5B8F925C" w14:textId="77777777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5A4D96D4" w14:textId="77777777" w:rsidR="002E1616" w:rsidRPr="002E1616" w:rsidRDefault="001F4BE0" w:rsidP="002E161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3. </w:t>
      </w:r>
      <w:proofErr w:type="spellStart"/>
      <w:r w:rsidR="002E1616"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הר"ן</w:t>
      </w:r>
      <w:proofErr w:type="spellEnd"/>
      <w:r w:rsidR="002E1616"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על </w:t>
      </w:r>
      <w:proofErr w:type="spellStart"/>
      <w:r w:rsidR="002E1616"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הרי"ף</w:t>
      </w:r>
      <w:proofErr w:type="spellEnd"/>
      <w:r w:rsidR="002E1616"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מסכת סוכה דף ב עמוד ב</w:t>
      </w:r>
    </w:p>
    <w:p w14:paraId="3E8F4D92" w14:textId="38B6124C" w:rsidR="00972B58" w:rsidRDefault="002E161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אם איתא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דצורת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פתח מתיר בכל דפנות הסוכה דהוה ליה כסתום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כדאמרינן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לענין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שבת וכלאים מאי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קולא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דדופן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שלישית הרי לבוד וצורת פתח בכל הדפנות הן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מתירין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אלא ודאי אין צורת פתח מתיר ומשלים שיעור דופן בסוכה אלא בדופן שלישית בלבד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דמחמרינן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בהא בסוכה משבת כשם שהחמירו בה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לענין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עמוד גבוה י'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דבעינן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מחיצות הניכרות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כדאמרינן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לעיל [דף ד ב] אע"ג דלא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אמרינן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הכי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לענין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שבת</w:t>
      </w:r>
      <w:r w:rsidR="00165C1C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.</w:t>
      </w:r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</w:p>
    <w:p w14:paraId="3BE8BD2F" w14:textId="6AAE8A2A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44F76225" w14:textId="77777777" w:rsidR="001744C6" w:rsidRPr="00972B58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3A487885" w14:textId="77777777" w:rsidR="002E1616" w:rsidRPr="002E1616" w:rsidRDefault="001F4BE0" w:rsidP="002E1616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4. </w:t>
      </w:r>
      <w:r w:rsidR="002E1616" w:rsidRPr="002E1616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תלמוד בבלי מסכת סוכה דף ד עמוד ב</w:t>
      </w:r>
    </w:p>
    <w:p w14:paraId="156B2709" w14:textId="0C401D52" w:rsidR="001744C6" w:rsidRDefault="002E161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היתה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גבוהה מעשרים אמה ובנה בה עמוד שהוא גבוה עשרה טפחים, ויש בו הכשר סוכה, סבר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אביי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למימר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: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גוד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אסיק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מחיצתא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. אמר ליה רבא: בעינן מחיצות הניכרות,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וליכא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. </w:t>
      </w:r>
    </w:p>
    <w:p w14:paraId="12B17C61" w14:textId="3DFD4172" w:rsidR="001744C6" w:rsidRDefault="001744C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37C492B3" w14:textId="77777777" w:rsidR="001744C6" w:rsidRPr="001744C6" w:rsidRDefault="001744C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4D5B4603" w14:textId="404C1DA7" w:rsidR="002E1616" w:rsidRPr="002E1616" w:rsidRDefault="001F4BE0" w:rsidP="002E161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5.</w:t>
      </w:r>
      <w:r w:rsidR="002E1616" w:rsidRPr="002E1616">
        <w:rPr>
          <w:rtl/>
          <w:lang w:bidi="he-IL"/>
        </w:rPr>
        <w:t xml:space="preserve"> </w:t>
      </w:r>
      <w:r w:rsidR="002E1616"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חידושי הרמב"ן מסכת שבת דף </w:t>
      </w:r>
      <w:proofErr w:type="spellStart"/>
      <w:r w:rsidR="002E1616"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צט</w:t>
      </w:r>
      <w:proofErr w:type="spellEnd"/>
      <w:r w:rsidR="002E1616"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עמוד ב</w:t>
      </w:r>
    </w:p>
    <w:p w14:paraId="2FD93B82" w14:textId="36E15080" w:rsidR="001744C6" w:rsidRDefault="002E161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דכי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אמרינן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רה"י עולה עד לרקיע דילמא </w:t>
      </w:r>
      <w:proofErr w:type="spellStart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באויר</w:t>
      </w:r>
      <w:proofErr w:type="spellEnd"/>
      <w:r w:rsidRPr="002E161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חצר אבל בעמוד לא</w:t>
      </w:r>
      <w:r w:rsidR="00165C1C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.</w:t>
      </w:r>
    </w:p>
    <w:p w14:paraId="7CDA0322" w14:textId="52B717E0" w:rsidR="001744C6" w:rsidRDefault="001744C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551BD533" w14:textId="47058331" w:rsidR="001744C6" w:rsidRDefault="001744C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59D03F0E" w14:textId="77777777" w:rsidR="002E1616" w:rsidRPr="002E1616" w:rsidRDefault="001F4BE0" w:rsidP="002E1616">
      <w:pPr>
        <w:pStyle w:val="NoSpacing"/>
        <w:jc w:val="right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6. </w:t>
      </w:r>
      <w:r w:rsidR="002E1616" w:rsidRPr="002E1616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חידושי ר' חיים הלוי הלכות שופר וסוכה ולולב פרק ד</w:t>
      </w:r>
    </w:p>
    <w:p w14:paraId="7229C61C" w14:textId="00C98467" w:rsidR="00972B58" w:rsidRDefault="002E161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והנראה מוכרח לדעת הרמב"ן,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דמפרש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דהא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דקאמר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רבא בעינן מחיצות הניכרות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וליכא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, לאו דהוי זאת הדין בסוכה שתהא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דוקא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במחיצות הניכרות, כי אם דהוא דין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בההילכתא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דגוד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אסיק, דלא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אמרינן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גוד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אסיק רק במחיצות הניכרות, ולא בעמוד שאין המחיצות שלו ניכרות במקומם, כיון דהוא אטום כולו, ולא רק בסוכה לבד הוא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דנאמר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זאת, כי אם בכל מקום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דאמרינן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גוד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אסיק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מחיצתא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הוי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דינא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הכי דהוא רק במחיצות הניכרות.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ולפ"ז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נמצא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דבסוגיא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זו מבואר דינו של הרמב"ן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דבעמוד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אמרינן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גוד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אסיק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מחיצתא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, כיון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דהויין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מחיצות שאינן ניכרות, וממילא דלית ביה גם הך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דינא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דרה"י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עולה עד לרקיע, כיון דאין שם מחיצות למעלה</w:t>
      </w:r>
      <w:r w:rsidR="00165C1C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.</w:t>
      </w:r>
      <w:r w:rsidRPr="00667E52">
        <w:rPr>
          <w:rFonts w:ascii="ResponsaTTF" w:hAnsi="Times New Roman" w:cs="ResponsaTTF"/>
          <w:color w:val="000000"/>
          <w:sz w:val="24"/>
          <w:szCs w:val="24"/>
        </w:rPr>
        <w:t>.</w:t>
      </w:r>
    </w:p>
    <w:p w14:paraId="4DE91F36" w14:textId="035F3283" w:rsidR="001744C6" w:rsidRDefault="001744C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76218D00" w14:textId="002B28CC" w:rsidR="001744C6" w:rsidRDefault="001744C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12C8CDE3" w14:textId="77777777" w:rsidR="001744C6" w:rsidRPr="00972B58" w:rsidRDefault="001744C6" w:rsidP="001744C6">
      <w:pPr>
        <w:pStyle w:val="NoSpacing"/>
        <w:jc w:val="right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2AE60A85" w14:textId="77777777" w:rsidR="00667E52" w:rsidRPr="00667E52" w:rsidRDefault="001F4BE0" w:rsidP="00667E5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lastRenderedPageBreak/>
        <w:t xml:space="preserve">7. </w:t>
      </w:r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חידושי </w:t>
      </w:r>
      <w:proofErr w:type="spellStart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הריטב"א</w:t>
      </w:r>
      <w:proofErr w:type="spellEnd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מסכת סוכה דף ד עמוד ב</w:t>
      </w:r>
    </w:p>
    <w:p w14:paraId="4BA1B7BD" w14:textId="5F496B93" w:rsidR="00667E52" w:rsidRDefault="00667E52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א"ל רבא בעינן מחיצות הנכרות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וליכא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. פי' מורי נ"ר מחיצות הנכרות ונראות עמה מה שאין כן בשבת דלא בעינן נראות עמה כל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היכא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דנראות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ונכרות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דהא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ודאי בעינן אף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לענין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שבת, דאי לא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תימא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הכי [כולי עלמא] הוי רשות היחיד שהרי הים מקיף אותה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דעמוק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כמה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ואמרינן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גוד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אסיק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מחיצתא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,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דהא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לדינא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דאורייתא כל שמוקף מחיצות אפילו יותר מבית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סאתים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כל מה שאפשר ואפילו בידי שמים ושלא לדירה כלל רשות היחיד גמורה היא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כדמוכח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בדוכתה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ואם כן לא משכחת ר"ה(י), אלא ודאי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דמחיצות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הים לא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חשיבי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מחיצות לפי שאין נראות ונכרות ואין האדם רואה עצמו בתוך מחיצות, מפי מורי הרב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נר"ו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.</w:t>
      </w:r>
    </w:p>
    <w:p w14:paraId="1EB0DF90" w14:textId="027D6624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1FC429DA" w14:textId="77777777" w:rsidR="001744C6" w:rsidRP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727B82D6" w14:textId="32F14E0C" w:rsidR="00667E52" w:rsidRPr="00667E52" w:rsidRDefault="001F4BE0" w:rsidP="00667E5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8. </w:t>
      </w:r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תוספות מסכת עירובין דף </w:t>
      </w:r>
      <w:proofErr w:type="spellStart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כב</w:t>
      </w:r>
      <w:proofErr w:type="spellEnd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עמוד ב</w:t>
      </w:r>
      <w:r w:rsidR="00667E52">
        <w:rPr>
          <w:rFonts w:ascii="ResponsaTTF" w:hAnsi="Times New Roman" w:cs="ResponsaTTF" w:hint="cs"/>
          <w:b/>
          <w:bCs/>
          <w:color w:val="000000"/>
          <w:sz w:val="24"/>
          <w:szCs w:val="24"/>
          <w:u w:val="single"/>
          <w:rtl/>
          <w:lang w:bidi="he-IL"/>
        </w:rPr>
        <w:t xml:space="preserve"> ד"ה דילמא</w:t>
      </w:r>
    </w:p>
    <w:p w14:paraId="37B3C474" w14:textId="1559F290" w:rsidR="00667E52" w:rsidRDefault="00667E52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ותימה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דלרבנן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כל ארץ ישראל תעשה רה"י ע"י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סולמא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דצור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ומחתנא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דגדר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ובבל נמי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דמקיף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לה דיגלת ולא אתו רבים ומבטלי מחיצתן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ולר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' יוחנן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דאמר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בפרק הדר (לקמן ד'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סז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:) קרפף יותר מבית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סאתים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שלא הוקף לדירה אפי' כור ואפי'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כוריים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הזורק לתוכו חייב והוא הדין אפי' לאלף כורים דמה שיעור יהיה וי"ל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דמחיצה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שאינה עשויה בידי אדם לא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חשיבא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מחיצה כולי האי ואפי' רבנן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מודו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דאתו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רבים ומבטלי מחיצה.</w:t>
      </w:r>
    </w:p>
    <w:p w14:paraId="36BB2D98" w14:textId="45D0EB4C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7ADF9C98" w14:textId="77777777" w:rsidR="001744C6" w:rsidRP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582BE65B" w14:textId="77777777" w:rsidR="00667E52" w:rsidRPr="00667E52" w:rsidRDefault="001F4BE0" w:rsidP="00667E5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9. </w:t>
      </w:r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פרי מגדים אורח חיים משבצות זהב סימן </w:t>
      </w:r>
      <w:proofErr w:type="spellStart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שסג</w:t>
      </w:r>
      <w:proofErr w:type="spellEnd"/>
    </w:p>
    <w:p w14:paraId="2C3B719A" w14:textId="3B411DF3" w:rsidR="00667E52" w:rsidRDefault="00667E52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ודע שאני מסופק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בצ"ה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הוה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מחיצה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ד"ת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ולחייב הזורק בתוכו בנעץ ד'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קונדיסים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ועליהם צ"ה, או צ"ה מהני להתיר כרמלית ופרצה יותר מעשר דמן התורה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הוה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מחיצה מש"ה מהני צ"ה, ועסי' תר"ל ס"ב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וס"ג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משמע צ"ה לחוד לא מהני לסוכה,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ובס"ו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נעץ ד'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קונדיסים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משמע אף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דהניח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למעלה קנה עליהם דלא מהני,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ועמ"א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אות ט' כל מן התורה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הוה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מחיצה בסוכה מהני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כו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' ש"מ לכאורה צ"ה לא מהני רק בכרמלית וכדומה הא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למהוי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רה"י גמור ע"י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צה"פ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לא וצ"ע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טובא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:</w:t>
      </w:r>
    </w:p>
    <w:p w14:paraId="4C26C254" w14:textId="05F9DC32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5D812F2C" w14:textId="77777777" w:rsidR="001744C6" w:rsidRP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27FBA727" w14:textId="77777777" w:rsidR="00667E52" w:rsidRPr="00667E52" w:rsidRDefault="001F4BE0" w:rsidP="00667E5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10. </w:t>
      </w:r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תלמוד בבלי מסכת עירובין דף יא עמוד א</w:t>
      </w:r>
    </w:p>
    <w:p w14:paraId="11FB2EBA" w14:textId="30CFB10E" w:rsidR="00667E52" w:rsidRDefault="00667E52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דאמר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רבין בר רב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אדא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אמר רבי יצחק; מעשה באדם אחד מבקעת בית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חורתן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שנעץ ארבע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קונדיסין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בארבע פינות השדה, ומתח זמורה עליהם, ובא מעשה לפני חכמים, והתירו לו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לענין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כלאים</w:t>
      </w:r>
      <w:r w:rsidR="00165C1C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.</w:t>
      </w:r>
    </w:p>
    <w:p w14:paraId="2AC83F41" w14:textId="5F2F59EF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3699FDF1" w14:textId="77777777" w:rsidR="001744C6" w:rsidRP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024FBDAC" w14:textId="77777777" w:rsidR="00667E52" w:rsidRPr="00667E52" w:rsidRDefault="001F4BE0" w:rsidP="00667E5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11. </w:t>
      </w:r>
      <w:proofErr w:type="spellStart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רא"ש</w:t>
      </w:r>
      <w:proofErr w:type="spellEnd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מסכת סוכה פרק א</w:t>
      </w:r>
    </w:p>
    <w:p w14:paraId="19D68C0E" w14:textId="100147DE" w:rsidR="00667E52" w:rsidRDefault="00667E52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וכיון דהוה ליה צורת הפתח מדאורייתא סגי לה בהכי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דבכ"מ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צורת הפתח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חשיב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כמחיצה ולא בעי טפח שוחק אלא מדרבנן</w:t>
      </w:r>
      <w:r w:rsidR="00165C1C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.</w:t>
      </w:r>
    </w:p>
    <w:p w14:paraId="1C2ED542" w14:textId="4BB81500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700A7A89" w14:textId="77777777" w:rsidR="001744C6" w:rsidRP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0B22AF79" w14:textId="77777777" w:rsidR="00667E52" w:rsidRPr="00667E52" w:rsidRDefault="000B1843" w:rsidP="00667E5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12. </w:t>
      </w:r>
      <w:proofErr w:type="spellStart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הר"ן</w:t>
      </w:r>
      <w:proofErr w:type="spellEnd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על </w:t>
      </w:r>
      <w:proofErr w:type="spellStart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הרי"ף</w:t>
      </w:r>
      <w:proofErr w:type="spellEnd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מסכת סוכה דף ב עמוד ב</w:t>
      </w:r>
    </w:p>
    <w:p w14:paraId="2DE68498" w14:textId="2B0F1345" w:rsidR="00667E52" w:rsidRDefault="00667E52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ולפי זה צריך ליזהר שלא יהא בכל קרנות הסוכה פתחים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דכיון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דבעינן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שתי דפנות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דעריבן</w:t>
      </w:r>
      <w:proofErr w:type="spellEnd"/>
      <w:r w:rsidR="00165C1C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.</w:t>
      </w:r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</w:p>
    <w:p w14:paraId="7C6318BA" w14:textId="00B88F89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436726E7" w14:textId="77777777" w:rsidR="001744C6" w:rsidRP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30AA5796" w14:textId="77777777" w:rsidR="00667E52" w:rsidRPr="00667E52" w:rsidRDefault="000B1843" w:rsidP="00667E5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13. </w:t>
      </w:r>
      <w:proofErr w:type="spellStart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הר"ן</w:t>
      </w:r>
      <w:proofErr w:type="spellEnd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על </w:t>
      </w:r>
      <w:proofErr w:type="spellStart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הרי"ף</w:t>
      </w:r>
      <w:proofErr w:type="spellEnd"/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מסכת סוכה דף ב עמוד ב</w:t>
      </w:r>
    </w:p>
    <w:p w14:paraId="54BCB53C" w14:textId="674C453B" w:rsidR="00667E52" w:rsidRPr="001744C6" w:rsidRDefault="00667E52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גרסי'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בפ"ק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דעירובין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(שם) אמר רב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חסדא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צורת פתח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שעשאה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מן הצד לא עשה ולא כלום ופירש הרב אלפסי ז"ל משמיה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דגאון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כגון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שעשאו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בצדו של כותל דהוה ליה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פתחא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בקרן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זוית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ופתחא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בקרן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זוית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לא עבדי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אינשי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ולא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נהירא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דכי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אמרינן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התם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פיתחא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בקרן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זוית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לא עבדי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אינשי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היינו כשאוכל משתי רוחות אבל מרוח אחת לא ועוד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דכי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אמרינן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הכי הני מילי שלא נדון הפרצה כפתח אבל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כשעשאה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צורת פתח ממש משמע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דאפי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' בקרן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זוית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מהני וכן כתב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הראב"ד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ז"ל לפיכך נראה עיקרן של דברים כדברי רש"י ז"ל דמן הצד היינו שקשר הקנה שעל גביהן בצד הקנים שמכאן ומכאן ובכי האי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גוונא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לא עשה ולא כלום משום דלא מיקרי פתח אלא כשהמשקוף על שתי המזוזות וכל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היכא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שאין שם פתיחה תחת המשקוף לא ולפיכך צריך ליזהר בסוכה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היכא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דבעיא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צורת פתח שלא לעשות צורת פתח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כענין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זה וכמו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שנוהגין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לקשור הקנה שעל גביהן בקנים שמכאן ומכאן:</w:t>
      </w:r>
    </w:p>
    <w:p w14:paraId="26AF7DC6" w14:textId="77777777" w:rsidR="00667E52" w:rsidRPr="00667E52" w:rsidRDefault="000B1843" w:rsidP="00667E5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b/>
          <w:bCs/>
          <w:color w:val="000000"/>
          <w:sz w:val="24"/>
          <w:szCs w:val="24"/>
          <w:u w:val="single"/>
        </w:rPr>
      </w:pPr>
      <w:r w:rsidRPr="00972B58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lastRenderedPageBreak/>
        <w:t xml:space="preserve">14. </w:t>
      </w:r>
      <w:r w:rsidR="00667E52" w:rsidRPr="00667E52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מרדכי מסכת סוכה פרק סוכה</w:t>
      </w:r>
    </w:p>
    <w:p w14:paraId="77F7F8F8" w14:textId="13C0732D" w:rsidR="00667E52" w:rsidRDefault="00667E52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ונראה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לראבי"ה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שאם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מגיעין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הקנים העומדים לצורת פתח עד לסכך אע"פ שאין קנה על גביהם כשר</w:t>
      </w:r>
      <w:r w:rsidR="001744C6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.</w:t>
      </w:r>
    </w:p>
    <w:p w14:paraId="590F4051" w14:textId="39233B64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17AA4E9C" w14:textId="77777777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220BB71B" w14:textId="77777777" w:rsidR="00667E52" w:rsidRPr="00667E52" w:rsidRDefault="00667E52" w:rsidP="00667E52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</w:rPr>
      </w:pPr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15. </w:t>
      </w:r>
      <w:r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ביאור </w:t>
      </w:r>
      <w:proofErr w:type="spellStart"/>
      <w:r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הגר"א</w:t>
      </w:r>
      <w:proofErr w:type="spellEnd"/>
      <w:r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 xml:space="preserve"> אורח חיים סימן </w:t>
      </w:r>
      <w:proofErr w:type="spellStart"/>
      <w:r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תרל</w:t>
      </w:r>
      <w:proofErr w:type="spellEnd"/>
    </w:p>
    <w:p w14:paraId="41AAFD51" w14:textId="5852B8DC" w:rsidR="00667E52" w:rsidRDefault="00667E52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ואם הטפח והקנה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כו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'. כצ"ל אבל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בירושל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' פ"א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דסוכה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הלכה א'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וספ"ק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דעירובין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איתא דאינו מתיר משום דלא נעשה לכך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ועמ"א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וי"ל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דס"ל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דגמ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' דידן פליג על הירושלמי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דאמרינן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בפ"ק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דעירובין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דוקא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בפתחי שימאי ולא משני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בשלא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נעשו ועוד שם במחיצות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דכ"ע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ל"פ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כו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'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וע"ל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סי' שס"ב ס"ג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וצ"ה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</w:t>
      </w:r>
      <w:proofErr w:type="spellStart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לכ"ע</w:t>
      </w:r>
      <w:proofErr w:type="spellEnd"/>
      <w:r w:rsidRPr="00667E52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משום מחיצה:</w:t>
      </w:r>
    </w:p>
    <w:p w14:paraId="788AA70F" w14:textId="7A37F42A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4F9EEA11" w14:textId="77777777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05C3B4B6" w14:textId="77777777" w:rsidR="00B20F36" w:rsidRPr="00B20F36" w:rsidRDefault="00667E52" w:rsidP="00B20F3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</w:rPr>
      </w:pPr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16.</w:t>
      </w:r>
      <w:r w:rsidR="00B20F36"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</w:t>
      </w:r>
      <w:r w:rsidR="00B20F36" w:rsidRPr="00165C1C">
        <w:rPr>
          <w:rFonts w:ascii="ResponsaTTF" w:hAnsi="Times New Roman" w:cs="ResponsaTTF"/>
          <w:b/>
          <w:bCs/>
          <w:color w:val="000000"/>
          <w:sz w:val="24"/>
          <w:szCs w:val="24"/>
          <w:u w:val="single"/>
          <w:rtl/>
          <w:lang w:bidi="he-IL"/>
        </w:rPr>
        <w:t>תלמוד בבלי מסכת עירובין דף יא עמוד ב</w:t>
      </w:r>
    </w:p>
    <w:p w14:paraId="2335FCED" w14:textId="23A7C644" w:rsidR="00B20F36" w:rsidRDefault="00B20F3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 w:rsidRPr="00B20F3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תנא: צורת הפתח שאמרו - קנה מכאן וקנה מכאן וקנה על גביהן. </w:t>
      </w:r>
      <w:proofErr w:type="spellStart"/>
      <w:r w:rsidRPr="00B20F3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צריכין</w:t>
      </w:r>
      <w:proofErr w:type="spellEnd"/>
      <w:r w:rsidRPr="00B20F3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ליגע או אין </w:t>
      </w:r>
      <w:proofErr w:type="spellStart"/>
      <w:r w:rsidRPr="00B20F3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צריכין</w:t>
      </w:r>
      <w:proofErr w:type="spellEnd"/>
      <w:r w:rsidRPr="00B20F3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ליגע? רב נחמן אמר: אין </w:t>
      </w:r>
      <w:proofErr w:type="spellStart"/>
      <w:r w:rsidRPr="00B20F3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צריכין</w:t>
      </w:r>
      <w:proofErr w:type="spellEnd"/>
      <w:r w:rsidRPr="00B20F3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ליגע. ורב ששת אמר: </w:t>
      </w:r>
      <w:proofErr w:type="spellStart"/>
      <w:r w:rsidRPr="00B20F3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>צריכין</w:t>
      </w:r>
      <w:proofErr w:type="spellEnd"/>
      <w:r w:rsidRPr="00B20F36"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  <w:t xml:space="preserve"> ליגע.</w:t>
      </w:r>
    </w:p>
    <w:p w14:paraId="766DF431" w14:textId="733E05AB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2D6C535B" w14:textId="77777777" w:rsidR="001744C6" w:rsidRDefault="001744C6" w:rsidP="001744C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</w:p>
    <w:p w14:paraId="3DDBB57A" w14:textId="77777777" w:rsidR="00B20F36" w:rsidRDefault="00B20F36" w:rsidP="00B20F36">
      <w:pPr>
        <w:autoSpaceDE w:val="0"/>
        <w:autoSpaceDN w:val="0"/>
        <w:bidi/>
        <w:adjustRightInd w:val="0"/>
        <w:spacing w:after="0" w:line="240" w:lineRule="auto"/>
        <w:rPr>
          <w:rFonts w:ascii="ResponsaTTF" w:hAnsi="Times New Roman" w:cs="ResponsaTTF"/>
          <w:color w:val="000000"/>
          <w:sz w:val="24"/>
          <w:szCs w:val="24"/>
          <w:rtl/>
          <w:lang w:bidi="he-IL"/>
        </w:rPr>
      </w:pPr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17. </w:t>
      </w:r>
      <w:proofErr w:type="spellStart"/>
      <w:r w:rsidRPr="00165C1C">
        <w:rPr>
          <w:rFonts w:ascii="ResponsaTTF" w:hAnsi="Times New Roman" w:cs="ResponsaTTF" w:hint="cs"/>
          <w:b/>
          <w:bCs/>
          <w:color w:val="000000"/>
          <w:sz w:val="24"/>
          <w:szCs w:val="24"/>
          <w:u w:val="single"/>
          <w:rtl/>
          <w:lang w:bidi="he-IL"/>
        </w:rPr>
        <w:t>חזון</w:t>
      </w:r>
      <w:proofErr w:type="spellEnd"/>
      <w:r w:rsidRPr="00165C1C">
        <w:rPr>
          <w:rFonts w:ascii="ResponsaTTF" w:hAnsi="Times New Roman" w:cs="ResponsaTTF" w:hint="cs"/>
          <w:b/>
          <w:bCs/>
          <w:color w:val="000000"/>
          <w:sz w:val="24"/>
          <w:szCs w:val="24"/>
          <w:u w:val="single"/>
          <w:rtl/>
          <w:lang w:bidi="he-IL"/>
        </w:rPr>
        <w:t xml:space="preserve"> איש יורה דעה סימן </w:t>
      </w:r>
      <w:proofErr w:type="spellStart"/>
      <w:r w:rsidRPr="00165C1C">
        <w:rPr>
          <w:rFonts w:ascii="ResponsaTTF" w:hAnsi="Times New Roman" w:cs="ResponsaTTF" w:hint="cs"/>
          <w:b/>
          <w:bCs/>
          <w:color w:val="000000"/>
          <w:sz w:val="24"/>
          <w:szCs w:val="24"/>
          <w:u w:val="single"/>
          <w:rtl/>
          <w:lang w:bidi="he-IL"/>
        </w:rPr>
        <w:t>קעב</w:t>
      </w:r>
      <w:proofErr w:type="spellEnd"/>
      <w:r w:rsidRPr="00165C1C">
        <w:rPr>
          <w:rFonts w:ascii="ResponsaTTF" w:hAnsi="Times New Roman" w:cs="ResponsaTTF" w:hint="cs"/>
          <w:b/>
          <w:bCs/>
          <w:color w:val="000000"/>
          <w:sz w:val="24"/>
          <w:szCs w:val="24"/>
          <w:u w:val="single"/>
          <w:rtl/>
          <w:lang w:bidi="he-IL"/>
        </w:rPr>
        <w:t xml:space="preserve"> אות ב</w:t>
      </w:r>
    </w:p>
    <w:p w14:paraId="6BBFAAD5" w14:textId="4B396029" w:rsidR="00B20F36" w:rsidRPr="00B20F36" w:rsidRDefault="00B20F36" w:rsidP="00B20F36">
      <w:pPr>
        <w:autoSpaceDE w:val="0"/>
        <w:autoSpaceDN w:val="0"/>
        <w:bidi/>
        <w:adjustRightInd w:val="0"/>
        <w:spacing w:after="0" w:line="240" w:lineRule="auto"/>
        <w:rPr>
          <w:rFonts w:cs="ResponsaTTF"/>
          <w:color w:val="000000"/>
          <w:sz w:val="24"/>
          <w:szCs w:val="24"/>
          <w:lang w:bidi="he-IL"/>
        </w:rPr>
      </w:pPr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והנה הצריך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ראבי"ה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שיגיעו הקנים ד הסכך [ומשמע דלא שיהיו נגד הסכך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קאמר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אלא שיגיעו ממש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קאמר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] וקשה למה צריך שיגיעו הלא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קיי"ל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דא"צ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ליגע, ואמנם גם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ראבי"ה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סבר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דסכך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גרע וכל שלא הגיעו הקנים עד הסכך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אמרינן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דסכך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לתקרה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עבידא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ולא </w:t>
      </w:r>
      <w:proofErr w:type="spellStart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>חשיב</w:t>
      </w:r>
      <w:proofErr w:type="spellEnd"/>
      <w:r>
        <w:rPr>
          <w:rFonts w:ascii="ResponsaTTF" w:hAnsi="Times New Roman" w:cs="ResponsaTTF" w:hint="cs"/>
          <w:color w:val="000000"/>
          <w:sz w:val="24"/>
          <w:szCs w:val="24"/>
          <w:rtl/>
          <w:lang w:bidi="he-IL"/>
        </w:rPr>
        <w:t xml:space="preserve"> סכך משקוף.</w:t>
      </w:r>
    </w:p>
    <w:sectPr w:rsidR="00B20F36" w:rsidRPr="00B20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ponsaTTF">
    <w:altName w:val="Times New Roman"/>
    <w:panose1 w:val="00000000000000000000"/>
    <w:charset w:val="B1"/>
    <w:family w:val="auto"/>
    <w:notTrueType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E9A"/>
    <w:rsid w:val="000B1843"/>
    <w:rsid w:val="00115B5B"/>
    <w:rsid w:val="00157091"/>
    <w:rsid w:val="00165C1C"/>
    <w:rsid w:val="001744C6"/>
    <w:rsid w:val="001F4BE0"/>
    <w:rsid w:val="002E1616"/>
    <w:rsid w:val="00410680"/>
    <w:rsid w:val="0049071D"/>
    <w:rsid w:val="00531468"/>
    <w:rsid w:val="00627E43"/>
    <w:rsid w:val="00667E52"/>
    <w:rsid w:val="00803216"/>
    <w:rsid w:val="0086563B"/>
    <w:rsid w:val="00972B58"/>
    <w:rsid w:val="009F1E9A"/>
    <w:rsid w:val="00A83708"/>
    <w:rsid w:val="00A9098C"/>
    <w:rsid w:val="00B20F36"/>
    <w:rsid w:val="00C504FD"/>
    <w:rsid w:val="00CE0CA1"/>
    <w:rsid w:val="00D754B3"/>
    <w:rsid w:val="00E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0C27"/>
  <w15:docId w15:val="{21F2F046-EC48-454A-9FC5-FF127D9DF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0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Yeshiva University</dc:creator>
  <cp:lastModifiedBy>moshe schapiro</cp:lastModifiedBy>
  <cp:revision>2</cp:revision>
  <dcterms:created xsi:type="dcterms:W3CDTF">2020-10-01T14:37:00Z</dcterms:created>
  <dcterms:modified xsi:type="dcterms:W3CDTF">2020-10-01T14:37:00Z</dcterms:modified>
</cp:coreProperties>
</file>