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C81" w:rsidRDefault="00705C81" w:rsidP="00705C81">
      <w:pPr>
        <w:pStyle w:val="ListParagraph"/>
        <w:numPr>
          <w:ilvl w:val="0"/>
          <w:numId w:val="2"/>
        </w:numPr>
      </w:pPr>
      <w:r>
        <w:t>Nature of Ribbit</w:t>
      </w:r>
    </w:p>
    <w:p w:rsidR="003B456F" w:rsidRDefault="003C27A4" w:rsidP="003C27A4">
      <w:pPr>
        <w:pStyle w:val="ListParagraph"/>
        <w:numPr>
          <w:ilvl w:val="0"/>
          <w:numId w:val="1"/>
        </w:numPr>
      </w:pPr>
      <w:r>
        <w:t xml:space="preserve">What is the </w:t>
      </w:r>
      <w:r w:rsidRPr="003C27A4">
        <w:rPr>
          <w:b/>
          <w:bCs/>
        </w:rPr>
        <w:t>motivation/</w:t>
      </w:r>
      <w:proofErr w:type="spellStart"/>
      <w:r w:rsidRPr="003C27A4">
        <w:rPr>
          <w:b/>
          <w:bCs/>
        </w:rPr>
        <w:t>taam</w:t>
      </w:r>
      <w:proofErr w:type="spellEnd"/>
      <w:r w:rsidRPr="003C27A4">
        <w:rPr>
          <w:b/>
          <w:bCs/>
        </w:rPr>
        <w:t xml:space="preserve"> </w:t>
      </w:r>
      <w:proofErr w:type="spellStart"/>
      <w:r w:rsidRPr="003C27A4">
        <w:rPr>
          <w:b/>
          <w:bCs/>
        </w:rPr>
        <w:t>hamitzvah</w:t>
      </w:r>
      <w:proofErr w:type="spellEnd"/>
      <w:r>
        <w:t xml:space="preserve"> for the prohibition against </w:t>
      </w:r>
      <w:proofErr w:type="spellStart"/>
      <w:r>
        <w:t>Ribbis</w:t>
      </w:r>
      <w:proofErr w:type="spellEnd"/>
      <w:r>
        <w:t>?</w:t>
      </w:r>
    </w:p>
    <w:p w:rsidR="003C27A4" w:rsidRDefault="003C27A4" w:rsidP="003C27A4">
      <w:pPr>
        <w:pStyle w:val="ListParagraph"/>
        <w:numPr>
          <w:ilvl w:val="1"/>
          <w:numId w:val="1"/>
        </w:numPr>
      </w:pPr>
      <w:r>
        <w:t>It is related to the obligation to give tzedakah.</w:t>
      </w:r>
    </w:p>
    <w:p w:rsidR="003C27A4" w:rsidRDefault="003C27A4" w:rsidP="003C27A4">
      <w:pPr>
        <w:pStyle w:val="ListParagraph"/>
        <w:numPr>
          <w:ilvl w:val="2"/>
          <w:numId w:val="1"/>
        </w:numPr>
      </w:pPr>
      <w:r>
        <w:t>Either it fundamentally applies when lending to the poor, and the prohibition for everyone else is part of the Torah’s general approach towards universal law.</w:t>
      </w:r>
    </w:p>
    <w:p w:rsidR="003C27A4" w:rsidRDefault="003C27A4" w:rsidP="003C27A4">
      <w:pPr>
        <w:pStyle w:val="ListParagraph"/>
        <w:numPr>
          <w:ilvl w:val="2"/>
          <w:numId w:val="1"/>
        </w:numPr>
      </w:pPr>
      <w:r>
        <w:t xml:space="preserve">Or, as R. Shmuel </w:t>
      </w:r>
      <w:proofErr w:type="spellStart"/>
      <w:r>
        <w:t>Abuhav</w:t>
      </w:r>
      <w:proofErr w:type="spellEnd"/>
      <w:r>
        <w:t xml:space="preserve"> notes, anyone who needs to borrow money is “poor relative to that thing”</w:t>
      </w:r>
    </w:p>
    <w:p w:rsidR="003C27A4" w:rsidRDefault="003C27A4" w:rsidP="003C27A4">
      <w:pPr>
        <w:pStyle w:val="ListParagraph"/>
        <w:numPr>
          <w:ilvl w:val="2"/>
          <w:numId w:val="1"/>
        </w:numPr>
      </w:pPr>
      <w:r>
        <w:t xml:space="preserve">Based on this, some endorse the </w:t>
      </w:r>
      <w:proofErr w:type="spellStart"/>
      <w:r>
        <w:t>Heter</w:t>
      </w:r>
      <w:proofErr w:type="spellEnd"/>
      <w:r>
        <w:t xml:space="preserve"> </w:t>
      </w:r>
      <w:proofErr w:type="spellStart"/>
      <w:r>
        <w:t>Iska</w:t>
      </w:r>
      <w:proofErr w:type="spellEnd"/>
      <w:r>
        <w:t xml:space="preserve"> when it is to lend money to banks or governments and the like, but not when it is to the average person.  In other words, when there is a tzedakah component, using a </w:t>
      </w:r>
      <w:proofErr w:type="spellStart"/>
      <w:r>
        <w:t>Heter</w:t>
      </w:r>
      <w:proofErr w:type="spellEnd"/>
      <w:r>
        <w:t xml:space="preserve"> </w:t>
      </w:r>
      <w:proofErr w:type="spellStart"/>
      <w:r>
        <w:t>Iska</w:t>
      </w:r>
      <w:proofErr w:type="spellEnd"/>
      <w:r>
        <w:t xml:space="preserve"> would miss the spirit of the law (ex. R. Chaim </w:t>
      </w:r>
      <w:proofErr w:type="spellStart"/>
      <w:r>
        <w:t>Dovid</w:t>
      </w:r>
      <w:proofErr w:type="spellEnd"/>
      <w:r>
        <w:t xml:space="preserve"> </w:t>
      </w:r>
      <w:proofErr w:type="spellStart"/>
      <w:r>
        <w:t>HaLevi</w:t>
      </w:r>
      <w:proofErr w:type="spellEnd"/>
      <w:r>
        <w:t>.</w:t>
      </w:r>
    </w:p>
    <w:p w:rsidR="008A43E0" w:rsidRDefault="008A43E0" w:rsidP="003C27A4">
      <w:pPr>
        <w:pStyle w:val="ListParagraph"/>
        <w:numPr>
          <w:ilvl w:val="2"/>
          <w:numId w:val="1"/>
        </w:numPr>
      </w:pPr>
      <w:r>
        <w:t xml:space="preserve">It is hard to understand the prohibition for the borrower, unless it is a </w:t>
      </w:r>
      <w:proofErr w:type="spellStart"/>
      <w:r>
        <w:t>syag</w:t>
      </w:r>
      <w:proofErr w:type="spellEnd"/>
      <w:r>
        <w:t xml:space="preserve"> – and thus not primary.</w:t>
      </w:r>
    </w:p>
    <w:p w:rsidR="003C27A4" w:rsidRDefault="003C27A4" w:rsidP="003C27A4">
      <w:pPr>
        <w:pStyle w:val="ListParagraph"/>
        <w:numPr>
          <w:ilvl w:val="1"/>
          <w:numId w:val="1"/>
        </w:numPr>
      </w:pPr>
      <w:r>
        <w:t xml:space="preserve">It is a function of our obligation to treat Jews as family.  </w:t>
      </w:r>
    </w:p>
    <w:p w:rsidR="003C27A4" w:rsidRDefault="003C27A4" w:rsidP="003C27A4">
      <w:pPr>
        <w:pStyle w:val="ListParagraph"/>
        <w:numPr>
          <w:ilvl w:val="2"/>
          <w:numId w:val="1"/>
        </w:numPr>
      </w:pPr>
      <w:r>
        <w:t xml:space="preserve">This would help when dealing with impersonal banks – R. </w:t>
      </w:r>
      <w:proofErr w:type="spellStart"/>
      <w:r>
        <w:t>Yoel</w:t>
      </w:r>
      <w:proofErr w:type="spellEnd"/>
      <w:r>
        <w:t xml:space="preserve"> bin Nun.</w:t>
      </w:r>
    </w:p>
    <w:p w:rsidR="003C27A4" w:rsidRDefault="003C27A4" w:rsidP="003C27A4">
      <w:pPr>
        <w:pStyle w:val="ListParagraph"/>
        <w:numPr>
          <w:ilvl w:val="2"/>
          <w:numId w:val="1"/>
        </w:numPr>
      </w:pPr>
      <w:r>
        <w:t xml:space="preserve">[Other reasons are brought that relate to </w:t>
      </w:r>
      <w:proofErr w:type="spellStart"/>
      <w:r>
        <w:t>emunah</w:t>
      </w:r>
      <w:proofErr w:type="spellEnd"/>
      <w:r>
        <w:t>]</w:t>
      </w:r>
    </w:p>
    <w:p w:rsidR="008A43E0" w:rsidRDefault="008A43E0" w:rsidP="003C27A4">
      <w:pPr>
        <w:pStyle w:val="ListParagraph"/>
        <w:numPr>
          <w:ilvl w:val="2"/>
          <w:numId w:val="1"/>
        </w:numPr>
      </w:pPr>
      <w:r>
        <w:t xml:space="preserve">Easier to understand the prohibition for the borrower, perhaps even on part with that of the lender. </w:t>
      </w:r>
    </w:p>
    <w:p w:rsidR="003C27A4" w:rsidRDefault="003C27A4" w:rsidP="008A43E0">
      <w:pPr>
        <w:pStyle w:val="ListParagraph"/>
        <w:numPr>
          <w:ilvl w:val="0"/>
          <w:numId w:val="1"/>
        </w:numPr>
      </w:pPr>
      <w:r>
        <w:t xml:space="preserve">What is the </w:t>
      </w:r>
      <w:r w:rsidRPr="003C27A4">
        <w:rPr>
          <w:b/>
          <w:bCs/>
        </w:rPr>
        <w:t>nature</w:t>
      </w:r>
      <w:r>
        <w:t xml:space="preserve"> of the prohibition?</w:t>
      </w:r>
      <w:r w:rsidR="008A43E0">
        <w:t xml:space="preserve"> Note that this is distinct from the motivation</w:t>
      </w:r>
    </w:p>
    <w:p w:rsidR="003C27A4" w:rsidRDefault="003C27A4" w:rsidP="003C27A4">
      <w:pPr>
        <w:pStyle w:val="ListParagraph"/>
        <w:numPr>
          <w:ilvl w:val="1"/>
          <w:numId w:val="1"/>
        </w:numPr>
      </w:pPr>
      <w:proofErr w:type="spellStart"/>
      <w:r>
        <w:t>Tzedaka</w:t>
      </w:r>
      <w:proofErr w:type="spellEnd"/>
      <w:r>
        <w:t xml:space="preserve"> (most pronounced in </w:t>
      </w:r>
      <w:proofErr w:type="spellStart"/>
      <w:r>
        <w:t>Chidah</w:t>
      </w:r>
      <w:proofErr w:type="spellEnd"/>
      <w:r>
        <w:t xml:space="preserve"> who says you should have in mind to fulfill tzedakah when lending without interest)</w:t>
      </w:r>
    </w:p>
    <w:p w:rsidR="003C27A4" w:rsidRDefault="003C27A4" w:rsidP="003C27A4">
      <w:pPr>
        <w:pStyle w:val="ListParagraph"/>
        <w:numPr>
          <w:ilvl w:val="1"/>
          <w:numId w:val="1"/>
        </w:numPr>
      </w:pPr>
      <w:r>
        <w:t>Part of the mitzvah of lending money</w:t>
      </w:r>
    </w:p>
    <w:p w:rsidR="003C27A4" w:rsidRDefault="003C27A4" w:rsidP="003C27A4">
      <w:pPr>
        <w:pStyle w:val="ListParagraph"/>
        <w:numPr>
          <w:ilvl w:val="1"/>
          <w:numId w:val="1"/>
        </w:numPr>
      </w:pPr>
      <w:proofErr w:type="spellStart"/>
      <w:r>
        <w:t>Gezel</w:t>
      </w:r>
      <w:proofErr w:type="spellEnd"/>
    </w:p>
    <w:p w:rsidR="003C27A4" w:rsidRDefault="003C27A4" w:rsidP="003C27A4">
      <w:pPr>
        <w:pStyle w:val="ListParagraph"/>
        <w:numPr>
          <w:ilvl w:val="2"/>
          <w:numId w:val="1"/>
        </w:numPr>
      </w:pPr>
      <w:r>
        <w:t xml:space="preserve">This depends on how to read the conclusion of the opening </w:t>
      </w:r>
      <w:proofErr w:type="spellStart"/>
      <w:r>
        <w:t>sugyot</w:t>
      </w:r>
      <w:proofErr w:type="spellEnd"/>
      <w:r>
        <w:t xml:space="preserve"> of the </w:t>
      </w:r>
      <w:proofErr w:type="spellStart"/>
      <w:r>
        <w:t>Perek</w:t>
      </w:r>
      <w:proofErr w:type="spellEnd"/>
      <w:r>
        <w:t>.  Is this a unique theft, or not theft at all?</w:t>
      </w:r>
    </w:p>
    <w:p w:rsidR="005644AC" w:rsidRDefault="005644AC" w:rsidP="003C27A4">
      <w:pPr>
        <w:pStyle w:val="ListParagraph"/>
        <w:numPr>
          <w:ilvl w:val="2"/>
          <w:numId w:val="1"/>
        </w:numPr>
      </w:pPr>
      <w:r>
        <w:t xml:space="preserve">This may also have implications on </w:t>
      </w:r>
      <w:proofErr w:type="spellStart"/>
      <w:r>
        <w:t>machloket</w:t>
      </w:r>
      <w:proofErr w:type="spellEnd"/>
      <w:r>
        <w:t xml:space="preserve"> whether this applies to land, less than </w:t>
      </w:r>
      <w:r>
        <w:rPr>
          <w:rFonts w:hint="cs"/>
          <w:rtl/>
        </w:rPr>
        <w:t>שוה פרוטה</w:t>
      </w:r>
      <w:r>
        <w:t xml:space="preserve">, which have exceptions of sorts to </w:t>
      </w:r>
      <w:proofErr w:type="spellStart"/>
      <w:r>
        <w:t>onaah</w:t>
      </w:r>
      <w:proofErr w:type="spellEnd"/>
      <w:r>
        <w:t xml:space="preserve"> and </w:t>
      </w:r>
      <w:proofErr w:type="spellStart"/>
      <w:r>
        <w:t>gzeilah</w:t>
      </w:r>
      <w:proofErr w:type="spellEnd"/>
    </w:p>
    <w:p w:rsidR="005644AC" w:rsidRDefault="005644AC" w:rsidP="003C27A4">
      <w:pPr>
        <w:pStyle w:val="ListParagraph"/>
        <w:numPr>
          <w:ilvl w:val="2"/>
          <w:numId w:val="1"/>
        </w:numPr>
      </w:pPr>
    </w:p>
    <w:p w:rsidR="003C27A4" w:rsidRDefault="008A43E0" w:rsidP="008A43E0">
      <w:pPr>
        <w:pStyle w:val="ListParagraph"/>
        <w:numPr>
          <w:ilvl w:val="0"/>
          <w:numId w:val="1"/>
        </w:numPr>
      </w:pPr>
      <w:r>
        <w:t xml:space="preserve">Implications </w:t>
      </w:r>
    </w:p>
    <w:p w:rsidR="008A43E0" w:rsidRDefault="008A43E0" w:rsidP="008A43E0">
      <w:pPr>
        <w:pStyle w:val="ListParagraph"/>
        <w:numPr>
          <w:ilvl w:val="1"/>
          <w:numId w:val="1"/>
        </w:numPr>
      </w:pPr>
      <w:r>
        <w:rPr>
          <w:rFonts w:hint="cs"/>
          <w:rtl/>
        </w:rPr>
        <w:t>יוצא בדיינים</w:t>
      </w:r>
    </w:p>
    <w:p w:rsidR="008A43E0" w:rsidRDefault="008A43E0" w:rsidP="008A43E0">
      <w:pPr>
        <w:pStyle w:val="ListParagraph"/>
        <w:numPr>
          <w:ilvl w:val="1"/>
          <w:numId w:val="1"/>
        </w:numPr>
      </w:pPr>
      <w:r>
        <w:rPr>
          <w:rFonts w:hint="cs"/>
          <w:rtl/>
        </w:rPr>
        <w:t>מחילה לאחר פרעון</w:t>
      </w:r>
    </w:p>
    <w:p w:rsidR="008A43E0" w:rsidRDefault="008A43E0" w:rsidP="008A43E0">
      <w:pPr>
        <w:pStyle w:val="ListParagraph"/>
        <w:numPr>
          <w:ilvl w:val="1"/>
          <w:numId w:val="1"/>
        </w:numPr>
      </w:pPr>
      <w:r>
        <w:rPr>
          <w:rFonts w:hint="cs"/>
          <w:rtl/>
        </w:rPr>
        <w:t>אופי חיוב החזרה</w:t>
      </w:r>
    </w:p>
    <w:p w:rsidR="008A43E0" w:rsidRDefault="008A43E0" w:rsidP="008A43E0">
      <w:pPr>
        <w:pStyle w:val="ListParagraph"/>
        <w:numPr>
          <w:ilvl w:val="0"/>
          <w:numId w:val="1"/>
        </w:numPr>
      </w:pPr>
      <w:r>
        <w:rPr>
          <w:rFonts w:hint="cs"/>
          <w:rtl/>
        </w:rPr>
        <w:t>נשך מול תרבית</w:t>
      </w:r>
      <w:r>
        <w:rPr>
          <w:rFonts w:hint="cs"/>
          <w:rtl/>
        </w:rPr>
        <w:tab/>
      </w:r>
    </w:p>
    <w:p w:rsidR="008A43E0" w:rsidRDefault="008A43E0" w:rsidP="008A43E0">
      <w:pPr>
        <w:pStyle w:val="ListParagraph"/>
        <w:numPr>
          <w:ilvl w:val="1"/>
          <w:numId w:val="1"/>
        </w:numPr>
      </w:pPr>
      <w:r>
        <w:t>Loss of borrower vs. gain of lender</w:t>
      </w:r>
    </w:p>
    <w:p w:rsidR="008A43E0" w:rsidRDefault="008A43E0" w:rsidP="008A43E0">
      <w:pPr>
        <w:pStyle w:val="ListParagraph"/>
        <w:numPr>
          <w:ilvl w:val="1"/>
          <w:numId w:val="1"/>
        </w:numPr>
      </w:pPr>
      <w:proofErr w:type="spellStart"/>
      <w:r>
        <w:t>Gemara</w:t>
      </w:r>
      <w:proofErr w:type="spellEnd"/>
      <w:r>
        <w:t xml:space="preserve"> assumes no practical difference on biblical level, though some </w:t>
      </w:r>
      <w:proofErr w:type="spellStart"/>
      <w:r>
        <w:t>achronim</w:t>
      </w:r>
      <w:proofErr w:type="spellEnd"/>
      <w:r>
        <w:t xml:space="preserve"> find cases.  </w:t>
      </w:r>
    </w:p>
    <w:p w:rsidR="008A43E0" w:rsidRDefault="005644AC" w:rsidP="005644AC">
      <w:pPr>
        <w:pStyle w:val="ListParagraph"/>
        <w:numPr>
          <w:ilvl w:val="0"/>
          <w:numId w:val="1"/>
        </w:numPr>
      </w:pPr>
      <w:r>
        <w:t>Uniqueness of prohibition</w:t>
      </w:r>
    </w:p>
    <w:p w:rsidR="005644AC" w:rsidRDefault="005644AC" w:rsidP="005644AC">
      <w:pPr>
        <w:pStyle w:val="ListParagraph"/>
        <w:numPr>
          <w:ilvl w:val="1"/>
          <w:numId w:val="1"/>
        </w:numPr>
      </w:pPr>
      <w:r>
        <w:t xml:space="preserve">Applies to </w:t>
      </w:r>
      <w:r>
        <w:rPr>
          <w:rFonts w:hint="cs"/>
          <w:rtl/>
        </w:rPr>
        <w:t>מלוה, לוה, עדים, סופר, דיינים?, סרסור</w:t>
      </w:r>
    </w:p>
    <w:p w:rsidR="005644AC" w:rsidRDefault="005644AC" w:rsidP="005644AC">
      <w:pPr>
        <w:pStyle w:val="ListParagraph"/>
        <w:numPr>
          <w:ilvl w:val="1"/>
          <w:numId w:val="1"/>
        </w:numPr>
      </w:pPr>
      <w:r>
        <w:t xml:space="preserve">Unclear whether this is one general </w:t>
      </w:r>
      <w:proofErr w:type="spellStart"/>
      <w:r>
        <w:t>issur</w:t>
      </w:r>
      <w:proofErr w:type="spellEnd"/>
      <w:r>
        <w:t xml:space="preserve"> or multiple</w:t>
      </w:r>
    </w:p>
    <w:p w:rsidR="005644AC" w:rsidRDefault="005644AC" w:rsidP="005644AC">
      <w:pPr>
        <w:pStyle w:val="ListParagraph"/>
        <w:numPr>
          <w:ilvl w:val="1"/>
          <w:numId w:val="1"/>
        </w:numPr>
      </w:pPr>
      <w:r>
        <w:t xml:space="preserve">Possible implications for </w:t>
      </w:r>
      <w:r>
        <w:rPr>
          <w:rFonts w:hint="cs"/>
          <w:rtl/>
        </w:rPr>
        <w:t>מלקות, פסולי עדות</w:t>
      </w:r>
    </w:p>
    <w:p w:rsidR="00104476" w:rsidRDefault="00104476">
      <w:r>
        <w:br w:type="page"/>
      </w:r>
    </w:p>
    <w:p w:rsidR="00127E22" w:rsidRDefault="00F677C6" w:rsidP="00127E22">
      <w:pPr>
        <w:pStyle w:val="ListParagraph"/>
        <w:numPr>
          <w:ilvl w:val="0"/>
          <w:numId w:val="2"/>
        </w:numPr>
      </w:pPr>
      <w:r>
        <w:lastRenderedPageBreak/>
        <w:t xml:space="preserve">One form of </w:t>
      </w:r>
      <w:proofErr w:type="spellStart"/>
      <w:r>
        <w:t>Haaramat</w:t>
      </w:r>
      <w:proofErr w:type="spellEnd"/>
      <w:r>
        <w:t xml:space="preserve"> Ribbit which becomes important for </w:t>
      </w:r>
      <w:r>
        <w:rPr>
          <w:rFonts w:hint="cs"/>
          <w:rtl/>
        </w:rPr>
        <w:t>חכירי נרשאי</w:t>
      </w:r>
    </w:p>
    <w:p w:rsidR="00127E22" w:rsidRDefault="00127E22" w:rsidP="00127E22">
      <w:pPr>
        <w:pStyle w:val="ListParagraph"/>
        <w:numPr>
          <w:ilvl w:val="3"/>
          <w:numId w:val="2"/>
        </w:numPr>
      </w:pPr>
      <w:r>
        <w:t xml:space="preserve">A Case of </w:t>
      </w:r>
      <w:proofErr w:type="spellStart"/>
      <w:r>
        <w:t>Haaram</w:t>
      </w:r>
      <w:r w:rsidR="00D24734">
        <w:t>a</w:t>
      </w:r>
      <w:r>
        <w:t>t</w:t>
      </w:r>
      <w:proofErr w:type="spellEnd"/>
      <w:r>
        <w:t xml:space="preserve"> Ribbit</w:t>
      </w:r>
    </w:p>
    <w:p w:rsidR="00F677C6" w:rsidRPr="00321785" w:rsidRDefault="00F677C6" w:rsidP="00F677C6">
      <w:pPr>
        <w:pStyle w:val="NoSpacing"/>
        <w:bidi/>
        <w:rPr>
          <w:rFonts w:cs="Narkisim"/>
          <w:b/>
          <w:bCs/>
        </w:rPr>
      </w:pPr>
      <w:r w:rsidRPr="00321785">
        <w:rPr>
          <w:rFonts w:cs="Narkisim"/>
          <w:b/>
          <w:bCs/>
          <w:rtl/>
        </w:rPr>
        <w:t xml:space="preserve">שולחן ערוך יורה דעה הלכות רבית סימן קסג סעיף ג </w:t>
      </w:r>
      <w:bookmarkStart w:id="0" w:name="_GoBack"/>
      <w:bookmarkEnd w:id="0"/>
    </w:p>
    <w:p w:rsidR="00F677C6" w:rsidRDefault="00F677C6" w:rsidP="00F677C6">
      <w:pPr>
        <w:pStyle w:val="NoSpacing"/>
        <w:bidi/>
        <w:rPr>
          <w:rFonts w:cs="Narkisim"/>
        </w:rPr>
      </w:pPr>
      <w:r w:rsidRPr="00321785">
        <w:rPr>
          <w:rFonts w:cs="Narkisim"/>
          <w:rtl/>
        </w:rPr>
        <w:t>אמר לו: הלויני מנה. א"ל: מנה אין לי, חטים במנה יש לי, ונתן לו חטים במנה כמו שהוא השער וחזר ולקחם ממנו בצ',  ( ועדיין הם שוים מאה), אם פרע לו לבסוף המנה בפירות, מותר. אבל אסור לפרוע במעות, מפני הערמת רבית, מאחר שא"ל תחלה הלויני מנה. ואם עבר ועשה, הרי הוא מוציא ממנו ק' בדין, שאפילו אבק רבית אין כאן. הגה: וי"א דהוי אבק רבית. (טור בשם הרמב"ן והרא"ש). וכל זה לא מיירי אלא כשלא התנו מתחלה על כך, אבל אם התנו מתחלה לקנות ממנו בפחות, הוי רבית גמור, (המ"מ פ"ה דה"מ בשם הרמב"ן והרשב"א, וכן הוא בנ"י), אפילו פרע לו פירות, (אסור) (נימוק"י פ' א"נ).</w:t>
      </w:r>
    </w:p>
    <w:p w:rsidR="00F677C6" w:rsidRDefault="00F677C6" w:rsidP="00F677C6">
      <w:pPr>
        <w:pStyle w:val="NoSpacing"/>
        <w:bidi/>
        <w:rPr>
          <w:rFonts w:cs="Narkisim"/>
        </w:rPr>
      </w:pPr>
    </w:p>
    <w:p w:rsidR="0036196C" w:rsidRPr="00002EC7" w:rsidRDefault="0036196C" w:rsidP="0036196C">
      <w:pPr>
        <w:pStyle w:val="NoSpacing"/>
        <w:bidi/>
        <w:rPr>
          <w:rFonts w:cs="Narkisim"/>
          <w:b/>
          <w:bCs/>
        </w:rPr>
      </w:pPr>
      <w:r w:rsidRPr="00002EC7">
        <w:rPr>
          <w:rFonts w:cs="Narkisim"/>
          <w:b/>
          <w:bCs/>
          <w:rtl/>
        </w:rPr>
        <w:t>שולחן ערוך יורה דעה הלכות רבית סימן קסד סעיף א</w:t>
      </w:r>
    </w:p>
    <w:p w:rsidR="0036196C" w:rsidRDefault="0036196C" w:rsidP="0036196C">
      <w:pPr>
        <w:pStyle w:val="NoSpacing"/>
        <w:bidi/>
        <w:rPr>
          <w:rFonts w:cs="Narkisim"/>
        </w:rPr>
      </w:pPr>
      <w:r w:rsidRPr="00002EC7">
        <w:rPr>
          <w:rFonts w:cs="Narkisim"/>
          <w:rtl/>
        </w:rPr>
        <w:t xml:space="preserve"> מי שהיתה שדה ממושכנת בידו, לא יחזור וישכיר אותה לבעל השדה. ויש מי שמתיר לעשות כן במשכנתא דסורא. הגה: ובלבד שלא התנה מתחלה על כך, (ריב"ש סימן ש"ה), וגם שכבר החזיק המלוה בשדה; אבל בלאו הכי, לכולי עלמא אסור (ב"י סימן קע"ב בשם תשובת רשב"א). </w:t>
      </w:r>
    </w:p>
    <w:p w:rsidR="0036196C" w:rsidRPr="0036196C" w:rsidRDefault="0036196C" w:rsidP="0036196C">
      <w:pPr>
        <w:pStyle w:val="NoSpacing"/>
        <w:bidi/>
        <w:rPr>
          <w:rFonts w:cs="Narkisim"/>
        </w:rPr>
      </w:pPr>
    </w:p>
    <w:p w:rsidR="00F677C6" w:rsidRPr="00A14C67" w:rsidRDefault="00F677C6" w:rsidP="00F677C6">
      <w:pPr>
        <w:pStyle w:val="NoSpacing"/>
        <w:bidi/>
        <w:rPr>
          <w:rFonts w:cs="Narkisim"/>
          <w:b/>
          <w:bCs/>
        </w:rPr>
      </w:pPr>
      <w:r w:rsidRPr="00A14C67">
        <w:rPr>
          <w:rFonts w:cs="Narkisim"/>
          <w:b/>
          <w:bCs/>
          <w:rtl/>
        </w:rPr>
        <w:t xml:space="preserve">שולחן ערוך יורה דעה הלכות רבית סימן קעד סעיף ב </w:t>
      </w:r>
    </w:p>
    <w:p w:rsidR="00F677C6" w:rsidRDefault="00F677C6" w:rsidP="00F677C6">
      <w:pPr>
        <w:pStyle w:val="NoSpacing"/>
        <w:bidi/>
        <w:rPr>
          <w:rFonts w:cs="Narkisim"/>
        </w:rPr>
      </w:pPr>
      <w:r w:rsidRPr="00A14C67">
        <w:rPr>
          <w:rFonts w:cs="Narkisim"/>
          <w:rtl/>
        </w:rPr>
        <w:t xml:space="preserve"> מכר לו שדה במנה ובאותו יום עשה לו שטר שאם יחזיר לו מעותיו יחזיר לו שטר המכר, אם נעשה תנאי זה קודם המכר, או בשעת המכר, אין לו דין מכר אלא דין הלואה. והלוקח חייב להחזיר כל מה שאכל. אבל אם נעשה לאחר המקח, אפילו שעה אחת, הרי זה מכר גמור. ואפילו עשה לו שטר על זה בקנין ובכל מיני חיזוקים, חסד הוא שרוצה להתחסד עמו ולהחזיר לו מקחו (תשובת הרשב"א הג"א בשם ר"ח וב"י בח"ה סי' ר"ז סי"א לדעת הרמב"ם).</w:t>
      </w:r>
    </w:p>
    <w:p w:rsidR="00F677C6" w:rsidRDefault="00F677C6" w:rsidP="0036196C">
      <w:pPr>
        <w:pStyle w:val="NoSpacing"/>
        <w:rPr>
          <w:rtl/>
        </w:rPr>
      </w:pPr>
    </w:p>
    <w:p w:rsidR="0036196C" w:rsidRDefault="0036196C" w:rsidP="0036196C">
      <w:pPr>
        <w:pStyle w:val="NoSpacing"/>
        <w:numPr>
          <w:ilvl w:val="1"/>
          <w:numId w:val="2"/>
        </w:numPr>
      </w:pPr>
      <w:proofErr w:type="spellStart"/>
      <w:r>
        <w:t>Taz</w:t>
      </w:r>
      <w:proofErr w:type="spellEnd"/>
      <w:r>
        <w:t xml:space="preserve">:  it is only </w:t>
      </w:r>
      <w:proofErr w:type="spellStart"/>
      <w:r>
        <w:t>haaramat</w:t>
      </w:r>
      <w:proofErr w:type="spellEnd"/>
      <w:r>
        <w:t xml:space="preserve"> ribbit if both transactions are done at the same time.  If it is done later, it is permitted.  </w:t>
      </w:r>
    </w:p>
    <w:p w:rsidR="0036196C" w:rsidRDefault="0036196C" w:rsidP="0036196C">
      <w:pPr>
        <w:pStyle w:val="NoSpacing"/>
        <w:numPr>
          <w:ilvl w:val="1"/>
          <w:numId w:val="2"/>
        </w:numPr>
      </w:pPr>
      <w:proofErr w:type="spellStart"/>
      <w:r>
        <w:t>Shach</w:t>
      </w:r>
      <w:proofErr w:type="spellEnd"/>
      <w:r>
        <w:t xml:space="preserve">: The time delay only applies in a case of sale, not by a loan.  </w:t>
      </w:r>
    </w:p>
    <w:p w:rsidR="0036196C" w:rsidRDefault="0036196C" w:rsidP="0036196C">
      <w:pPr>
        <w:pStyle w:val="NoSpacing"/>
        <w:numPr>
          <w:ilvl w:val="1"/>
          <w:numId w:val="2"/>
        </w:numPr>
      </w:pPr>
      <w:proofErr w:type="spellStart"/>
      <w:r>
        <w:t>Talmidei</w:t>
      </w:r>
      <w:proofErr w:type="spellEnd"/>
      <w:r>
        <w:t xml:space="preserve"> </w:t>
      </w:r>
      <w:proofErr w:type="spellStart"/>
      <w:r>
        <w:t>HaRashba</w:t>
      </w:r>
      <w:proofErr w:type="spellEnd"/>
      <w:r>
        <w:t xml:space="preserve"> – if the price goes down, this would be permitted </w:t>
      </w:r>
      <w:proofErr w:type="spellStart"/>
      <w:r>
        <w:t>lechatchila</w:t>
      </w:r>
      <w:proofErr w:type="spellEnd"/>
      <w:r>
        <w:t xml:space="preserve">.  </w:t>
      </w:r>
    </w:p>
    <w:p w:rsidR="0036196C" w:rsidRDefault="0036196C" w:rsidP="0036196C">
      <w:pPr>
        <w:pStyle w:val="NoSpacing"/>
        <w:numPr>
          <w:ilvl w:val="1"/>
          <w:numId w:val="2"/>
        </w:numPr>
      </w:pPr>
      <w:r>
        <w:t xml:space="preserve">Rambam: not even </w:t>
      </w:r>
      <w:proofErr w:type="spellStart"/>
      <w:r>
        <w:t>avak</w:t>
      </w:r>
      <w:proofErr w:type="spellEnd"/>
      <w:r>
        <w:t xml:space="preserve"> </w:t>
      </w:r>
      <w:proofErr w:type="spellStart"/>
      <w:r>
        <w:t>ribbis</w:t>
      </w:r>
      <w:proofErr w:type="spellEnd"/>
      <w:r>
        <w:t xml:space="preserve">.  </w:t>
      </w:r>
      <w:proofErr w:type="spellStart"/>
      <w:r>
        <w:t>Ramban</w:t>
      </w:r>
      <w:proofErr w:type="spellEnd"/>
      <w:r>
        <w:t xml:space="preserve"> – it is.</w:t>
      </w:r>
    </w:p>
    <w:p w:rsidR="00F677C6" w:rsidRDefault="00F677C6" w:rsidP="00F677C6">
      <w:pPr>
        <w:pStyle w:val="ListParagraph"/>
        <w:ind w:left="1080"/>
      </w:pPr>
    </w:p>
    <w:p w:rsidR="00F677C6" w:rsidRDefault="00F677C6" w:rsidP="00F677C6">
      <w:pPr>
        <w:pStyle w:val="ListParagraph"/>
        <w:ind w:left="1080"/>
      </w:pPr>
    </w:p>
    <w:p w:rsidR="00127E22" w:rsidRPr="00DA2E0A" w:rsidRDefault="00127E22" w:rsidP="00127E22">
      <w:pPr>
        <w:pStyle w:val="NoSpacing"/>
        <w:bidi/>
        <w:rPr>
          <w:rFonts w:cs="Narkisim"/>
        </w:rPr>
      </w:pPr>
      <w:r w:rsidRPr="00102D93">
        <w:rPr>
          <w:rFonts w:cs="Narkisim"/>
          <w:b/>
          <w:bCs/>
          <w:rtl/>
        </w:rPr>
        <w:t>סעיף א</w:t>
      </w:r>
      <w:r>
        <w:rPr>
          <w:rFonts w:cs="Narkisim"/>
          <w:b/>
          <w:bCs/>
        </w:rPr>
        <w:t xml:space="preserve">: </w:t>
      </w:r>
      <w:r w:rsidRPr="00DA2E0A">
        <w:rPr>
          <w:rFonts w:cs="Narkisim"/>
        </w:rPr>
        <w:t xml:space="preserve"> </w:t>
      </w:r>
      <w:r w:rsidRPr="00DA2E0A">
        <w:rPr>
          <w:rFonts w:cs="Narkisim"/>
          <w:rtl/>
        </w:rPr>
        <w:t>מי שהיה נושה בחבירו מעות ואמר לו: תן לי מעותי שאני רוצה ליקח בהם חטים, א"ל: צא ועשה אותם עלי כשער של עכשיו ויהיה לך אצלי חטים בהלוואה, אם יש לו חטים כשיעור מעותיו, מותר אפילו לא יצא השער. ואם לאו, אסור אפילו יצא השער (נ"י בשם רמב"ן והרב המגיד שם ושכן כתב רמב"ן ורשב"א) ( ונאמן המוכר לומר שיש לו, וא"צ ראייה לדבריו) (הגהות מרדכי דאיזהו נשך), כדלעיל סימן קס"ב</w:t>
      </w:r>
      <w:r w:rsidRPr="00DA2E0A">
        <w:rPr>
          <w:rFonts w:cs="Narkisim"/>
        </w:rPr>
        <w:t xml:space="preserve">. </w:t>
      </w:r>
    </w:p>
    <w:p w:rsidR="00127E22" w:rsidRPr="00DA2E0A" w:rsidRDefault="00127E22" w:rsidP="00127E22">
      <w:pPr>
        <w:pStyle w:val="NoSpacing"/>
        <w:bidi/>
        <w:rPr>
          <w:rFonts w:cs="Narkisim"/>
        </w:rPr>
      </w:pPr>
      <w:r w:rsidRPr="00102D93">
        <w:rPr>
          <w:rFonts w:cs="Narkisim"/>
          <w:b/>
          <w:bCs/>
          <w:rtl/>
        </w:rPr>
        <w:t>סעיף ב</w:t>
      </w:r>
      <w:r>
        <w:rPr>
          <w:rFonts w:cs="Narkisim"/>
          <w:b/>
          <w:bCs/>
        </w:rPr>
        <w:t xml:space="preserve">: </w:t>
      </w:r>
      <w:r w:rsidRPr="00DA2E0A">
        <w:rPr>
          <w:rFonts w:cs="Narkisim"/>
        </w:rPr>
        <w:t xml:space="preserve"> </w:t>
      </w:r>
      <w:r w:rsidRPr="00DA2E0A">
        <w:rPr>
          <w:rFonts w:cs="Narkisim"/>
          <w:rtl/>
        </w:rPr>
        <w:t>הרי שהיה לו חטים ועשה הלואתו עליו, ובא אחר זמן ואמר ליה: תן לי חטים, שאני רוצה למכרם וליקח בדמיהם יין. א"ל: צא ועשה אותם עלי יין כשער שבשוק עתה, אם יש לו יין, הרי זה מותר. ואם לאו, אסור (ר"ן ונ"י)</w:t>
      </w:r>
      <w:r w:rsidRPr="00DA2E0A">
        <w:rPr>
          <w:rFonts w:cs="Narkisim"/>
        </w:rPr>
        <w:t xml:space="preserve">. </w:t>
      </w:r>
    </w:p>
    <w:p w:rsidR="00127E22" w:rsidRDefault="00127E22" w:rsidP="00127E22">
      <w:pPr>
        <w:pStyle w:val="NoSpacing"/>
        <w:bidi/>
        <w:ind w:left="720"/>
        <w:rPr>
          <w:rFonts w:cs="Narkisim"/>
          <w:b/>
          <w:bCs/>
        </w:rPr>
      </w:pPr>
    </w:p>
    <w:p w:rsidR="003B4D04" w:rsidRDefault="00127E22" w:rsidP="003B4D04">
      <w:pPr>
        <w:pStyle w:val="NoSpacing"/>
        <w:ind w:left="720"/>
        <w:rPr>
          <w:rFonts w:cs="Narkisim"/>
          <w:b/>
          <w:bCs/>
        </w:rPr>
      </w:pPr>
      <w:r>
        <w:rPr>
          <w:rFonts w:cs="Narkisim"/>
          <w:b/>
          <w:bCs/>
        </w:rPr>
        <w:t xml:space="preserve">2.  A permitted case.  </w:t>
      </w:r>
    </w:p>
    <w:p w:rsidR="00F677C6" w:rsidRPr="003B4D04" w:rsidRDefault="00127E22" w:rsidP="003B4D04">
      <w:pPr>
        <w:pStyle w:val="NoSpacing"/>
        <w:numPr>
          <w:ilvl w:val="1"/>
          <w:numId w:val="2"/>
        </w:numPr>
        <w:rPr>
          <w:rFonts w:cs="Narkisim"/>
          <w:b/>
          <w:bCs/>
        </w:rPr>
      </w:pPr>
      <w:proofErr w:type="spellStart"/>
      <w:r>
        <w:t>Rashi</w:t>
      </w:r>
      <w:proofErr w:type="spellEnd"/>
      <w:r>
        <w:t xml:space="preserve"> and Rambam: There was a </w:t>
      </w:r>
      <w:proofErr w:type="spellStart"/>
      <w:r>
        <w:t>kinyan</w:t>
      </w:r>
      <w:proofErr w:type="spellEnd"/>
      <w:r>
        <w:t>, and he owned the produce.</w:t>
      </w:r>
    </w:p>
    <w:p w:rsidR="00127E22" w:rsidRDefault="00127E22" w:rsidP="003B4D04">
      <w:pPr>
        <w:pStyle w:val="ListParagraph"/>
        <w:numPr>
          <w:ilvl w:val="1"/>
          <w:numId w:val="2"/>
        </w:numPr>
      </w:pPr>
      <w:proofErr w:type="spellStart"/>
      <w:r>
        <w:t>Raavad</w:t>
      </w:r>
      <w:proofErr w:type="spellEnd"/>
      <w:r>
        <w:t xml:space="preserve">: This is only a </w:t>
      </w:r>
      <w:proofErr w:type="spellStart"/>
      <w:r>
        <w:t>heter</w:t>
      </w:r>
      <w:proofErr w:type="spellEnd"/>
      <w:r>
        <w:t xml:space="preserve"> in </w:t>
      </w:r>
      <w:proofErr w:type="spellStart"/>
      <w:r>
        <w:t>Ribbis</w:t>
      </w:r>
      <w:proofErr w:type="spellEnd"/>
      <w:r>
        <w:t>.</w:t>
      </w:r>
    </w:p>
    <w:p w:rsidR="00127E22" w:rsidRDefault="00127E22" w:rsidP="003B4D04">
      <w:pPr>
        <w:pStyle w:val="ListParagraph"/>
        <w:numPr>
          <w:ilvl w:val="1"/>
          <w:numId w:val="2"/>
        </w:numPr>
      </w:pPr>
      <w:proofErr w:type="spellStart"/>
      <w:r>
        <w:t>Tosafot</w:t>
      </w:r>
      <w:proofErr w:type="spellEnd"/>
      <w:r>
        <w:t xml:space="preserve">: It is a </w:t>
      </w:r>
      <w:proofErr w:type="spellStart"/>
      <w:r>
        <w:t>kinyan</w:t>
      </w:r>
      <w:proofErr w:type="spellEnd"/>
      <w:r>
        <w:t xml:space="preserve"> “mi </w:t>
      </w:r>
      <w:proofErr w:type="spellStart"/>
      <w:r>
        <w:t>shepara</w:t>
      </w:r>
      <w:proofErr w:type="spellEnd"/>
      <w:r>
        <w:t>”</w:t>
      </w:r>
    </w:p>
    <w:p w:rsidR="00F677C6" w:rsidRDefault="00F677C6" w:rsidP="003B4D04">
      <w:pPr>
        <w:pStyle w:val="ListParagraph"/>
        <w:ind w:left="3240"/>
      </w:pPr>
    </w:p>
    <w:p w:rsidR="005644AC" w:rsidRDefault="00705C81" w:rsidP="00705C81">
      <w:pPr>
        <w:pStyle w:val="ListParagraph"/>
        <w:numPr>
          <w:ilvl w:val="0"/>
          <w:numId w:val="2"/>
        </w:numPr>
      </w:pPr>
      <w:r>
        <w:t>Benefits that are forbidden from a borrower to a lender</w:t>
      </w:r>
    </w:p>
    <w:p w:rsidR="00705C81" w:rsidRDefault="00705C81" w:rsidP="00705C81">
      <w:pPr>
        <w:pStyle w:val="ListParagraph"/>
        <w:numPr>
          <w:ilvl w:val="1"/>
          <w:numId w:val="2"/>
        </w:numPr>
      </w:pPr>
      <w:r>
        <w:t>64b</w:t>
      </w:r>
    </w:p>
    <w:p w:rsidR="00705C81" w:rsidRDefault="00705C81" w:rsidP="00705C81">
      <w:pPr>
        <w:pStyle w:val="ListParagraph"/>
        <w:numPr>
          <w:ilvl w:val="2"/>
          <w:numId w:val="2"/>
        </w:numPr>
      </w:pPr>
      <w:r>
        <w:rPr>
          <w:rFonts w:hint="cs"/>
          <w:rtl/>
        </w:rPr>
        <w:t>הלויהו</w:t>
      </w:r>
    </w:p>
    <w:p w:rsidR="00705C81" w:rsidRDefault="00705C81" w:rsidP="00705C81">
      <w:pPr>
        <w:pStyle w:val="ListParagraph"/>
        <w:numPr>
          <w:ilvl w:val="3"/>
          <w:numId w:val="2"/>
        </w:numPr>
      </w:pPr>
      <w:r>
        <w:rPr>
          <w:rFonts w:hint="cs"/>
          <w:rtl/>
        </w:rPr>
        <w:t>אבק או פחות (מחזי)</w:t>
      </w:r>
    </w:p>
    <w:p w:rsidR="00705C81" w:rsidRDefault="00705C81" w:rsidP="00705C81">
      <w:pPr>
        <w:pStyle w:val="ListParagraph"/>
        <w:numPr>
          <w:ilvl w:val="3"/>
          <w:numId w:val="2"/>
        </w:numPr>
      </w:pPr>
      <w:r>
        <w:rPr>
          <w:rFonts w:hint="cs"/>
          <w:rtl/>
        </w:rPr>
        <w:t xml:space="preserve">רי"ף </w:t>
      </w:r>
      <w:r>
        <w:rPr>
          <w:rtl/>
        </w:rPr>
        <w:t>–</w:t>
      </w:r>
      <w:r>
        <w:rPr>
          <w:rFonts w:hint="cs"/>
          <w:rtl/>
        </w:rPr>
        <w:t xml:space="preserve"> אי אפשר לנכות דמי השכירות מדמי הפרעון</w:t>
      </w:r>
    </w:p>
    <w:p w:rsidR="00705C81" w:rsidRDefault="00705C81" w:rsidP="00705C81">
      <w:pPr>
        <w:pStyle w:val="ListParagraph"/>
        <w:numPr>
          <w:ilvl w:val="3"/>
          <w:numId w:val="2"/>
        </w:numPr>
      </w:pPr>
      <w:r>
        <w:rPr>
          <w:rFonts w:hint="cs"/>
          <w:rtl/>
        </w:rPr>
        <w:t xml:space="preserve">ר' אפרים </w:t>
      </w:r>
      <w:r>
        <w:rPr>
          <w:rtl/>
        </w:rPr>
        <w:t>–</w:t>
      </w:r>
      <w:r>
        <w:rPr>
          <w:rFonts w:hint="cs"/>
          <w:rtl/>
        </w:rPr>
        <w:t xml:space="preserve"> כן מנכים.  רק במשכון "סלוקי בלא זוזי אפוקי מנא הוא"</w:t>
      </w:r>
      <w:r w:rsidR="00B11665">
        <w:t xml:space="preserve"> [Rama rules this way]</w:t>
      </w:r>
    </w:p>
    <w:p w:rsidR="00705C81" w:rsidRDefault="00705C81" w:rsidP="00705C81">
      <w:pPr>
        <w:pStyle w:val="ListParagraph"/>
        <w:numPr>
          <w:ilvl w:val="2"/>
          <w:numId w:val="2"/>
        </w:numPr>
      </w:pPr>
      <w:r>
        <w:rPr>
          <w:rFonts w:hint="cs"/>
          <w:rtl/>
        </w:rPr>
        <w:t>הלוני</w:t>
      </w:r>
    </w:p>
    <w:p w:rsidR="00705C81" w:rsidRDefault="00705C81" w:rsidP="00705C81">
      <w:pPr>
        <w:pStyle w:val="ListParagraph"/>
        <w:numPr>
          <w:ilvl w:val="3"/>
          <w:numId w:val="2"/>
        </w:numPr>
      </w:pPr>
      <w:r>
        <w:rPr>
          <w:rFonts w:hint="cs"/>
          <w:rtl/>
        </w:rPr>
        <w:t>שיטת הרי"ף והרמב"ם -רבית קצוצה</w:t>
      </w:r>
    </w:p>
    <w:p w:rsidR="00705C81" w:rsidRDefault="00705C81" w:rsidP="00705C81">
      <w:pPr>
        <w:pStyle w:val="ListParagraph"/>
        <w:numPr>
          <w:ilvl w:val="4"/>
          <w:numId w:val="2"/>
        </w:numPr>
      </w:pPr>
      <w:r>
        <w:rPr>
          <w:rFonts w:hint="cs"/>
          <w:rtl/>
        </w:rPr>
        <w:lastRenderedPageBreak/>
        <w:t xml:space="preserve">רמב"ן </w:t>
      </w:r>
      <w:r>
        <w:rPr>
          <w:rtl/>
        </w:rPr>
        <w:t>–</w:t>
      </w:r>
      <w:r>
        <w:rPr>
          <w:rFonts w:hint="cs"/>
          <w:rtl/>
        </w:rPr>
        <w:t xml:space="preserve"> רק אם קיימא לאגרא</w:t>
      </w:r>
    </w:p>
    <w:p w:rsidR="00705C81" w:rsidRDefault="00705C81" w:rsidP="00705C81">
      <w:pPr>
        <w:pStyle w:val="ListParagraph"/>
        <w:numPr>
          <w:ilvl w:val="4"/>
          <w:numId w:val="2"/>
        </w:numPr>
      </w:pPr>
      <w:r>
        <w:rPr>
          <w:rFonts w:hint="cs"/>
          <w:rtl/>
        </w:rPr>
        <w:t xml:space="preserve">מאירי </w:t>
      </w:r>
      <w:r>
        <w:rPr>
          <w:rtl/>
        </w:rPr>
        <w:t>–</w:t>
      </w:r>
      <w:r>
        <w:rPr>
          <w:rFonts w:hint="cs"/>
          <w:rtl/>
        </w:rPr>
        <w:t xml:space="preserve"> האמירה משוי זה לשוה כסף</w:t>
      </w:r>
    </w:p>
    <w:p w:rsidR="00705C81" w:rsidRDefault="00705C81" w:rsidP="00705C81">
      <w:pPr>
        <w:pStyle w:val="ListParagraph"/>
        <w:numPr>
          <w:ilvl w:val="4"/>
          <w:numId w:val="2"/>
        </w:numPr>
      </w:pPr>
      <w:r>
        <w:rPr>
          <w:rFonts w:hint="cs"/>
          <w:rtl/>
        </w:rPr>
        <w:t xml:space="preserve">יד אברהם </w:t>
      </w:r>
      <w:r>
        <w:rPr>
          <w:rtl/>
        </w:rPr>
        <w:t>–</w:t>
      </w:r>
      <w:r>
        <w:rPr>
          <w:rFonts w:hint="cs"/>
          <w:rtl/>
        </w:rPr>
        <w:t xml:space="preserve"> הטובת הנאה = כסף</w:t>
      </w:r>
    </w:p>
    <w:p w:rsidR="00705C81" w:rsidRDefault="00705C81" w:rsidP="00705C81">
      <w:pPr>
        <w:pStyle w:val="ListParagraph"/>
        <w:numPr>
          <w:ilvl w:val="2"/>
          <w:numId w:val="2"/>
        </w:numPr>
      </w:pPr>
      <w:r>
        <w:rPr>
          <w:rFonts w:hint="cs"/>
          <w:rtl/>
        </w:rPr>
        <w:t>ארוח לו זמניה</w:t>
      </w:r>
    </w:p>
    <w:p w:rsidR="00705C81" w:rsidRDefault="00705C81" w:rsidP="00705C81">
      <w:pPr>
        <w:pStyle w:val="ListParagraph"/>
        <w:numPr>
          <w:ilvl w:val="3"/>
          <w:numId w:val="2"/>
        </w:numPr>
      </w:pPr>
      <w:r>
        <w:rPr>
          <w:rFonts w:hint="cs"/>
          <w:rtl/>
        </w:rPr>
        <w:t xml:space="preserve">רוב הראושנים </w:t>
      </w:r>
      <w:r>
        <w:rPr>
          <w:rtl/>
        </w:rPr>
        <w:t>–</w:t>
      </w:r>
      <w:r>
        <w:rPr>
          <w:rFonts w:hint="cs"/>
          <w:rtl/>
        </w:rPr>
        <w:t xml:space="preserve"> הלוני וארוח לו זמינה = רבית קצוצה</w:t>
      </w:r>
    </w:p>
    <w:p w:rsidR="00705C81" w:rsidRDefault="00705C81" w:rsidP="00705C81">
      <w:pPr>
        <w:pStyle w:val="ListParagraph"/>
        <w:numPr>
          <w:ilvl w:val="3"/>
          <w:numId w:val="2"/>
        </w:numPr>
      </w:pPr>
      <w:r>
        <w:rPr>
          <w:rFonts w:hint="cs"/>
          <w:rtl/>
        </w:rPr>
        <w:t xml:space="preserve">רמב"ם </w:t>
      </w:r>
      <w:r>
        <w:rPr>
          <w:rtl/>
        </w:rPr>
        <w:t>–</w:t>
      </w:r>
      <w:r>
        <w:rPr>
          <w:rFonts w:hint="cs"/>
          <w:rtl/>
        </w:rPr>
        <w:t xml:space="preserve"> אבק רבית </w:t>
      </w:r>
      <w:r>
        <w:rPr>
          <w:rtl/>
        </w:rPr>
        <w:t>–</w:t>
      </w:r>
      <w:r>
        <w:rPr>
          <w:rFonts w:hint="cs"/>
          <w:rtl/>
        </w:rPr>
        <w:t xml:space="preserve"> קציצה צריכה להיות מרגע הראשון</w:t>
      </w:r>
    </w:p>
    <w:p w:rsidR="00705C81" w:rsidRDefault="00705C81" w:rsidP="00705C81">
      <w:pPr>
        <w:pStyle w:val="ListParagraph"/>
        <w:numPr>
          <w:ilvl w:val="1"/>
          <w:numId w:val="2"/>
        </w:numPr>
      </w:pPr>
      <w:r>
        <w:rPr>
          <w:rFonts w:hint="cs"/>
          <w:rtl/>
        </w:rPr>
        <w:t>רבית דברים וכדומה</w:t>
      </w:r>
      <w:r w:rsidR="00B11665">
        <w:t xml:space="preserve"> </w:t>
      </w:r>
      <w:r w:rsidR="00B11665">
        <w:rPr>
          <w:rFonts w:hint="cs"/>
          <w:rtl/>
        </w:rPr>
        <w:t>)</w:t>
      </w:r>
      <w:r w:rsidR="00B11665">
        <w:rPr>
          <w:rFonts w:hint="cs"/>
        </w:rPr>
        <w:t>B</w:t>
      </w:r>
      <w:r w:rsidR="00B11665">
        <w:t>iblical or rabbinic?)</w:t>
      </w:r>
    </w:p>
    <w:p w:rsidR="00B11665" w:rsidRDefault="00B11665" w:rsidP="00705C81">
      <w:pPr>
        <w:pStyle w:val="ListParagraph"/>
        <w:numPr>
          <w:ilvl w:val="1"/>
          <w:numId w:val="2"/>
        </w:numPr>
      </w:pPr>
      <w:r>
        <w:t>Parameters to make it forbidden</w:t>
      </w:r>
    </w:p>
    <w:p w:rsidR="00B11665" w:rsidRDefault="00B11665" w:rsidP="00B11665">
      <w:pPr>
        <w:pStyle w:val="ListParagraph"/>
        <w:numPr>
          <w:ilvl w:val="2"/>
          <w:numId w:val="2"/>
        </w:numPr>
      </w:pPr>
      <w:r>
        <w:t>Wouldn’t have done it for the lender before</w:t>
      </w:r>
    </w:p>
    <w:p w:rsidR="00B11665" w:rsidRDefault="00B11665" w:rsidP="00B11665">
      <w:pPr>
        <w:pStyle w:val="ListParagraph"/>
        <w:numPr>
          <w:ilvl w:val="3"/>
          <w:numId w:val="2"/>
        </w:numPr>
      </w:pPr>
      <w:r>
        <w:t xml:space="preserve">If a loss is causes, the Rosh thinks it is automatically forbidden. The </w:t>
      </w:r>
      <w:proofErr w:type="spellStart"/>
      <w:r>
        <w:t>Hagahot</w:t>
      </w:r>
      <w:proofErr w:type="spellEnd"/>
      <w:r>
        <w:t xml:space="preserve"> </w:t>
      </w:r>
      <w:proofErr w:type="spellStart"/>
      <w:r>
        <w:t>Ashri</w:t>
      </w:r>
      <w:proofErr w:type="spellEnd"/>
      <w:r>
        <w:t xml:space="preserve"> and </w:t>
      </w:r>
      <w:proofErr w:type="spellStart"/>
      <w:r>
        <w:t>Shulchan</w:t>
      </w:r>
      <w:proofErr w:type="spellEnd"/>
      <w:r>
        <w:t xml:space="preserve"> </w:t>
      </w:r>
      <w:proofErr w:type="spellStart"/>
      <w:r>
        <w:t>Aruch</w:t>
      </w:r>
      <w:proofErr w:type="spellEnd"/>
      <w:r>
        <w:t xml:space="preserve"> </w:t>
      </w:r>
      <w:proofErr w:type="spellStart"/>
      <w:r>
        <w:t>HaRav</w:t>
      </w:r>
      <w:proofErr w:type="spellEnd"/>
      <w:r>
        <w:t xml:space="preserve"> disagree.</w:t>
      </w:r>
    </w:p>
    <w:p w:rsidR="00B11665" w:rsidRDefault="00B11665" w:rsidP="00B11665">
      <w:pPr>
        <w:pStyle w:val="ListParagraph"/>
        <w:numPr>
          <w:ilvl w:val="2"/>
          <w:numId w:val="2"/>
        </w:numPr>
      </w:pPr>
      <w:r>
        <w:t>Public</w:t>
      </w:r>
    </w:p>
    <w:p w:rsidR="00B11665" w:rsidRDefault="00B11665" w:rsidP="00B11665">
      <w:pPr>
        <w:pStyle w:val="ListParagraph"/>
        <w:numPr>
          <w:ilvl w:val="3"/>
          <w:numId w:val="2"/>
        </w:numPr>
      </w:pPr>
      <w:r>
        <w:t xml:space="preserve">R. </w:t>
      </w:r>
      <w:proofErr w:type="spellStart"/>
      <w:r>
        <w:t>Getstetner</w:t>
      </w:r>
      <w:proofErr w:type="spellEnd"/>
      <w:r>
        <w:t xml:space="preserve"> notes that the loan and benefit must be public to cause this problem. </w:t>
      </w:r>
    </w:p>
    <w:p w:rsidR="00B11665" w:rsidRDefault="00B11665" w:rsidP="00B11665">
      <w:pPr>
        <w:pStyle w:val="ListParagraph"/>
        <w:numPr>
          <w:ilvl w:val="2"/>
          <w:numId w:val="2"/>
        </w:numPr>
      </w:pPr>
      <w:r>
        <w:t xml:space="preserve">Ex. Aliyot (public, but might have done before. </w:t>
      </w:r>
      <w:proofErr w:type="spellStart"/>
      <w:r>
        <w:t>Chiyuvim</w:t>
      </w:r>
      <w:proofErr w:type="spellEnd"/>
      <w:r>
        <w:t>?), cars (gas?)</w:t>
      </w:r>
    </w:p>
    <w:p w:rsidR="006920F5" w:rsidRDefault="006920F5" w:rsidP="006920F5">
      <w:pPr>
        <w:pStyle w:val="ListParagraph"/>
        <w:numPr>
          <w:ilvl w:val="1"/>
          <w:numId w:val="2"/>
        </w:numPr>
      </w:pPr>
      <w:r>
        <w:t xml:space="preserve">Case of borrowing money from someone you hired – in Maharam </w:t>
      </w:r>
      <w:proofErr w:type="spellStart"/>
      <w:r>
        <w:t>MiRutenberg</w:t>
      </w:r>
      <w:proofErr w:type="spellEnd"/>
      <w:r>
        <w:t xml:space="preserve"> is may be biblical, though most assume it is rabbinic.  </w:t>
      </w:r>
    </w:p>
    <w:p w:rsidR="00CF73EE" w:rsidRDefault="009405D8" w:rsidP="00CF73EE">
      <w:pPr>
        <w:pStyle w:val="ListParagraph"/>
        <w:numPr>
          <w:ilvl w:val="0"/>
          <w:numId w:val="2"/>
        </w:numPr>
      </w:pPr>
      <w:r>
        <w:t xml:space="preserve">Ribbit Al </w:t>
      </w:r>
      <w:proofErr w:type="spellStart"/>
      <w:r>
        <w:t>Menat</w:t>
      </w:r>
      <w:proofErr w:type="spellEnd"/>
      <w:r>
        <w:t xml:space="preserve"> </w:t>
      </w:r>
      <w:proofErr w:type="spellStart"/>
      <w:r>
        <w:t>L’Hachzir</w:t>
      </w:r>
      <w:proofErr w:type="spellEnd"/>
      <w:r>
        <w:tab/>
      </w:r>
    </w:p>
    <w:p w:rsidR="009405D8" w:rsidRDefault="009405D8" w:rsidP="009405D8">
      <w:pPr>
        <w:pStyle w:val="ListParagraph"/>
        <w:numPr>
          <w:ilvl w:val="1"/>
          <w:numId w:val="2"/>
        </w:numPr>
      </w:pPr>
      <w:proofErr w:type="spellStart"/>
      <w:r>
        <w:t>Machloket</w:t>
      </w:r>
      <w:proofErr w:type="spellEnd"/>
      <w:r>
        <w:t xml:space="preserve"> in </w:t>
      </w:r>
      <w:proofErr w:type="spellStart"/>
      <w:r>
        <w:t>Gemara</w:t>
      </w:r>
      <w:proofErr w:type="spellEnd"/>
      <w:r>
        <w:t xml:space="preserve"> re: </w:t>
      </w:r>
    </w:p>
    <w:p w:rsidR="009405D8" w:rsidRDefault="009405D8" w:rsidP="009405D8">
      <w:pPr>
        <w:pStyle w:val="ListParagraph"/>
        <w:numPr>
          <w:ilvl w:val="1"/>
          <w:numId w:val="2"/>
        </w:numPr>
      </w:pPr>
      <w:r>
        <w:t>Case – eating fruit on property that might be loan (depending on whether sale is paid off)</w:t>
      </w:r>
    </w:p>
    <w:p w:rsidR="009405D8" w:rsidRDefault="009405D8" w:rsidP="009405D8">
      <w:pPr>
        <w:pStyle w:val="ListParagraph"/>
        <w:numPr>
          <w:ilvl w:val="2"/>
          <w:numId w:val="2"/>
        </w:numPr>
      </w:pPr>
      <w:proofErr w:type="spellStart"/>
      <w:r>
        <w:t>Tosafot</w:t>
      </w:r>
      <w:proofErr w:type="spellEnd"/>
      <w:r>
        <w:t xml:space="preserve"> – you won’t return the “Ribbit” by deducting from the loan until the loan is paid off.</w:t>
      </w:r>
    </w:p>
    <w:p w:rsidR="009405D8" w:rsidRDefault="009405D8" w:rsidP="009405D8">
      <w:pPr>
        <w:pStyle w:val="ListParagraph"/>
        <w:numPr>
          <w:ilvl w:val="2"/>
          <w:numId w:val="2"/>
        </w:numPr>
      </w:pPr>
      <w:proofErr w:type="spellStart"/>
      <w:r>
        <w:t>Chavot</w:t>
      </w:r>
      <w:proofErr w:type="spellEnd"/>
      <w:r>
        <w:t xml:space="preserve"> </w:t>
      </w:r>
      <w:proofErr w:type="spellStart"/>
      <w:r>
        <w:t>Daat</w:t>
      </w:r>
      <w:proofErr w:type="spellEnd"/>
      <w:r>
        <w:t xml:space="preserve"> – problem is the fruit might change value during that time.</w:t>
      </w:r>
    </w:p>
    <w:p w:rsidR="009405D8" w:rsidRDefault="009405D8" w:rsidP="009405D8">
      <w:pPr>
        <w:pStyle w:val="ListParagraph"/>
        <w:numPr>
          <w:ilvl w:val="2"/>
          <w:numId w:val="2"/>
        </w:numPr>
      </w:pPr>
      <w:proofErr w:type="spellStart"/>
      <w:r>
        <w:t>Ritva</w:t>
      </w:r>
      <w:proofErr w:type="spellEnd"/>
      <w:r>
        <w:t xml:space="preserve"> – the deal was that if you get the money, you can buy it back.  Even though technically that is a sale, since people don’t do that, it is really Ribbit.  </w:t>
      </w:r>
    </w:p>
    <w:p w:rsidR="009405D8" w:rsidRDefault="009405D8" w:rsidP="009405D8">
      <w:pPr>
        <w:pStyle w:val="ListParagraph"/>
        <w:numPr>
          <w:ilvl w:val="1"/>
          <w:numId w:val="2"/>
        </w:numPr>
      </w:pPr>
      <w:r>
        <w:t xml:space="preserve">Why is it </w:t>
      </w:r>
      <w:proofErr w:type="spellStart"/>
      <w:r>
        <w:t>assur</w:t>
      </w:r>
      <w:proofErr w:type="spellEnd"/>
      <w:r>
        <w:t xml:space="preserve">?  Is it because it is theft?  (One can wonder whether that is the same as regular theft or a secondary prohibition) Is it because we care about the act of taking interest?  Can one do teshuva?  One already agreed to return and it is still </w:t>
      </w:r>
      <w:proofErr w:type="spellStart"/>
      <w:r>
        <w:t>assur</w:t>
      </w:r>
      <w:proofErr w:type="spellEnd"/>
      <w:r>
        <w:t>!</w:t>
      </w:r>
    </w:p>
    <w:p w:rsidR="00705C81" w:rsidRDefault="00705C81" w:rsidP="00104476">
      <w:pPr>
        <w:pStyle w:val="ListParagraph"/>
        <w:ind w:left="1440"/>
      </w:pPr>
    </w:p>
    <w:p w:rsidR="003C27A4" w:rsidRDefault="003C27A4"/>
    <w:sectPr w:rsidR="003C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75C9"/>
    <w:multiLevelType w:val="hybridMultilevel"/>
    <w:tmpl w:val="72FC917C"/>
    <w:lvl w:ilvl="0" w:tplc="8A4646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10BBE"/>
    <w:multiLevelType w:val="hybridMultilevel"/>
    <w:tmpl w:val="044A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924EE"/>
    <w:multiLevelType w:val="hybridMultilevel"/>
    <w:tmpl w:val="EF66C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A4"/>
    <w:rsid w:val="00104476"/>
    <w:rsid w:val="00127E22"/>
    <w:rsid w:val="00293754"/>
    <w:rsid w:val="0036196C"/>
    <w:rsid w:val="003B456F"/>
    <w:rsid w:val="003B4D04"/>
    <w:rsid w:val="003C27A4"/>
    <w:rsid w:val="005644AC"/>
    <w:rsid w:val="006920F5"/>
    <w:rsid w:val="00705C81"/>
    <w:rsid w:val="00785B6D"/>
    <w:rsid w:val="008A43E0"/>
    <w:rsid w:val="008F7C09"/>
    <w:rsid w:val="009405D8"/>
    <w:rsid w:val="00B11665"/>
    <w:rsid w:val="00CF73EE"/>
    <w:rsid w:val="00D069A5"/>
    <w:rsid w:val="00D24734"/>
    <w:rsid w:val="00E06787"/>
    <w:rsid w:val="00F67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5447"/>
  <w15:chartTrackingRefBased/>
  <w15:docId w15:val="{48BDC966-C943-4911-B268-2292B829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ListParagraph">
    <w:name w:val="List Paragraph"/>
    <w:basedOn w:val="Normal"/>
    <w:uiPriority w:val="34"/>
    <w:qFormat/>
    <w:rsid w:val="003C27A4"/>
    <w:pPr>
      <w:ind w:left="720"/>
      <w:contextualSpacing/>
    </w:pPr>
  </w:style>
  <w:style w:type="character" w:styleId="CommentReference">
    <w:name w:val="annotation reference"/>
    <w:basedOn w:val="DefaultParagraphFont"/>
    <w:uiPriority w:val="99"/>
    <w:semiHidden/>
    <w:unhideWhenUsed/>
    <w:rsid w:val="00705C81"/>
    <w:rPr>
      <w:sz w:val="16"/>
      <w:szCs w:val="16"/>
    </w:rPr>
  </w:style>
  <w:style w:type="paragraph" w:styleId="CommentText">
    <w:name w:val="annotation text"/>
    <w:basedOn w:val="Normal"/>
    <w:link w:val="CommentTextChar"/>
    <w:uiPriority w:val="99"/>
    <w:semiHidden/>
    <w:unhideWhenUsed/>
    <w:rsid w:val="00705C81"/>
    <w:pPr>
      <w:spacing w:line="240" w:lineRule="auto"/>
    </w:pPr>
    <w:rPr>
      <w:sz w:val="20"/>
      <w:szCs w:val="20"/>
    </w:rPr>
  </w:style>
  <w:style w:type="character" w:customStyle="1" w:styleId="CommentTextChar">
    <w:name w:val="Comment Text Char"/>
    <w:basedOn w:val="DefaultParagraphFont"/>
    <w:link w:val="CommentText"/>
    <w:uiPriority w:val="99"/>
    <w:semiHidden/>
    <w:rsid w:val="00705C81"/>
    <w:rPr>
      <w:sz w:val="20"/>
      <w:szCs w:val="20"/>
    </w:rPr>
  </w:style>
  <w:style w:type="paragraph" w:styleId="CommentSubject">
    <w:name w:val="annotation subject"/>
    <w:basedOn w:val="CommentText"/>
    <w:next w:val="CommentText"/>
    <w:link w:val="CommentSubjectChar"/>
    <w:uiPriority w:val="99"/>
    <w:semiHidden/>
    <w:unhideWhenUsed/>
    <w:rsid w:val="00705C81"/>
    <w:rPr>
      <w:b/>
      <w:bCs/>
    </w:rPr>
  </w:style>
  <w:style w:type="character" w:customStyle="1" w:styleId="CommentSubjectChar">
    <w:name w:val="Comment Subject Char"/>
    <w:basedOn w:val="CommentTextChar"/>
    <w:link w:val="CommentSubject"/>
    <w:uiPriority w:val="99"/>
    <w:semiHidden/>
    <w:rsid w:val="00705C81"/>
    <w:rPr>
      <w:b/>
      <w:bCs/>
      <w:sz w:val="20"/>
      <w:szCs w:val="20"/>
    </w:rPr>
  </w:style>
  <w:style w:type="paragraph" w:styleId="BalloonText">
    <w:name w:val="Balloon Text"/>
    <w:basedOn w:val="Normal"/>
    <w:link w:val="BalloonTextChar"/>
    <w:uiPriority w:val="99"/>
    <w:semiHidden/>
    <w:unhideWhenUsed/>
    <w:rsid w:val="00705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FE9E-1B11-4407-8BD0-36B041A1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7</cp:revision>
  <dcterms:created xsi:type="dcterms:W3CDTF">2017-07-10T12:41:00Z</dcterms:created>
  <dcterms:modified xsi:type="dcterms:W3CDTF">2017-07-14T15:27:00Z</dcterms:modified>
</cp:coreProperties>
</file>