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7B" w:rsidRDefault="007D237B" w:rsidP="007D237B">
      <w:pPr>
        <w:jc w:val="center"/>
        <w:rPr>
          <w:b/>
          <w:bCs/>
        </w:rPr>
      </w:pPr>
      <w:r>
        <w:rPr>
          <w:b/>
          <w:bCs/>
        </w:rPr>
        <w:t xml:space="preserve">The Brisker </w:t>
      </w:r>
      <w:proofErr w:type="spellStart"/>
      <w:r>
        <w:rPr>
          <w:b/>
          <w:bCs/>
        </w:rPr>
        <w:t>Derech</w:t>
      </w:r>
      <w:proofErr w:type="spellEnd"/>
      <w:r>
        <w:rPr>
          <w:b/>
          <w:bCs/>
        </w:rPr>
        <w:t>:</w:t>
      </w:r>
    </w:p>
    <w:p w:rsidR="007D237B" w:rsidRDefault="007D237B" w:rsidP="007D237B">
      <w:pPr>
        <w:jc w:val="center"/>
        <w:rPr>
          <w:b/>
          <w:bCs/>
        </w:rPr>
      </w:pPr>
      <w:r w:rsidRPr="00EE4AA8">
        <w:rPr>
          <w:b/>
          <w:bCs/>
        </w:rPr>
        <w:t xml:space="preserve"> What </w:t>
      </w:r>
      <w:r>
        <w:rPr>
          <w:b/>
          <w:bCs/>
        </w:rPr>
        <w:t>is it?</w:t>
      </w:r>
    </w:p>
    <w:p w:rsidR="007D237B" w:rsidRDefault="007D237B" w:rsidP="007D237B">
      <w:pPr>
        <w:jc w:val="center"/>
        <w:rPr>
          <w:b/>
          <w:bCs/>
        </w:rPr>
      </w:pPr>
      <w:r>
        <w:rPr>
          <w:b/>
          <w:bCs/>
        </w:rPr>
        <w:t xml:space="preserve">Where has it been? </w:t>
      </w:r>
    </w:p>
    <w:p w:rsidR="007D237B" w:rsidRDefault="007D237B" w:rsidP="007D237B">
      <w:pPr>
        <w:jc w:val="center"/>
        <w:rPr>
          <w:b/>
          <w:bCs/>
        </w:rPr>
      </w:pPr>
      <w:r>
        <w:rPr>
          <w:b/>
          <w:bCs/>
        </w:rPr>
        <w:t>And where is it going?</w:t>
      </w:r>
    </w:p>
    <w:p w:rsidR="007D237B" w:rsidRDefault="007D237B" w:rsidP="007D237B">
      <w:pPr>
        <w:jc w:val="right"/>
        <w:rPr>
          <w:sz w:val="20"/>
          <w:szCs w:val="20"/>
        </w:rPr>
      </w:pPr>
    </w:p>
    <w:p w:rsidR="007D237B" w:rsidRPr="00B36194" w:rsidRDefault="007D237B" w:rsidP="007D23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Pr="00B36194">
        <w:rPr>
          <w:sz w:val="20"/>
          <w:szCs w:val="20"/>
        </w:rPr>
        <w:t>Chaim Saiman</w:t>
      </w:r>
    </w:p>
    <w:p w:rsidR="007D237B" w:rsidRPr="00B36194" w:rsidRDefault="007D237B" w:rsidP="00E95654">
      <w:pPr>
        <w:jc w:val="right"/>
        <w:rPr>
          <w:sz w:val="20"/>
          <w:szCs w:val="20"/>
        </w:rPr>
      </w:pPr>
      <w:r>
        <w:rPr>
          <w:sz w:val="20"/>
          <w:szCs w:val="20"/>
        </w:rPr>
        <w:t>Villanova Law School</w:t>
      </w:r>
    </w:p>
    <w:p w:rsidR="007D237B" w:rsidRDefault="007D237B" w:rsidP="004C4EAC"/>
    <w:p w:rsidR="007D237B" w:rsidRPr="00B909D7" w:rsidRDefault="007D237B" w:rsidP="004C4EAC">
      <w:pPr>
        <w:numPr>
          <w:ilvl w:val="0"/>
          <w:numId w:val="1"/>
        </w:numPr>
        <w:rPr>
          <w:b/>
        </w:rPr>
      </w:pPr>
      <w:r>
        <w:rPr>
          <w:b/>
        </w:rPr>
        <w:t xml:space="preserve">Introduction: </w:t>
      </w:r>
      <w:r w:rsidR="009752AA">
        <w:rPr>
          <w:b/>
        </w:rPr>
        <w:t>Brisk, t</w:t>
      </w:r>
      <w:r>
        <w:rPr>
          <w:b/>
        </w:rPr>
        <w:t xml:space="preserve">he Golden Age of </w:t>
      </w:r>
      <w:proofErr w:type="spellStart"/>
      <w:r>
        <w:rPr>
          <w:b/>
        </w:rPr>
        <w:t>Yeshivos</w:t>
      </w:r>
      <w:proofErr w:type="spellEnd"/>
      <w:r>
        <w:rPr>
          <w:b/>
        </w:rPr>
        <w:t xml:space="preserve"> and </w:t>
      </w:r>
      <w:r w:rsidR="009752AA">
        <w:rPr>
          <w:b/>
        </w:rPr>
        <w:t>Jewish Emancipation</w:t>
      </w:r>
    </w:p>
    <w:p w:rsidR="007D237B" w:rsidRDefault="007D237B" w:rsidP="007D237B"/>
    <w:p w:rsidR="007D237B" w:rsidRPr="00B909D7" w:rsidRDefault="007D237B" w:rsidP="004C4EAC">
      <w:pPr>
        <w:numPr>
          <w:ilvl w:val="0"/>
          <w:numId w:val="1"/>
        </w:numPr>
        <w:rPr>
          <w:b/>
        </w:rPr>
      </w:pPr>
      <w:r w:rsidRPr="00B909D7">
        <w:rPr>
          <w:b/>
        </w:rPr>
        <w:t xml:space="preserve">The </w:t>
      </w:r>
      <w:r w:rsidR="00352BA0">
        <w:rPr>
          <w:b/>
        </w:rPr>
        <w:t>classical B</w:t>
      </w:r>
      <w:r w:rsidRPr="00B909D7">
        <w:rPr>
          <w:b/>
        </w:rPr>
        <w:t xml:space="preserve">risker: Examples and Features. </w:t>
      </w:r>
    </w:p>
    <w:p w:rsidR="007D237B" w:rsidRPr="00006C0E" w:rsidRDefault="007D237B" w:rsidP="007D237B">
      <w:pPr>
        <w:rPr>
          <w:i/>
          <w:iCs/>
        </w:rPr>
      </w:pPr>
    </w:p>
    <w:p w:rsidR="007D237B" w:rsidRPr="00006C0E" w:rsidRDefault="007D237B" w:rsidP="007D237B">
      <w:pPr>
        <w:numPr>
          <w:ilvl w:val="0"/>
          <w:numId w:val="2"/>
        </w:numPr>
        <w:rPr>
          <w:i/>
          <w:iCs/>
        </w:rPr>
      </w:pPr>
      <w:r w:rsidRPr="00006C0E">
        <w:rPr>
          <w:i/>
          <w:iCs/>
        </w:rPr>
        <w:t xml:space="preserve">Warm up round: Destruction of </w:t>
      </w:r>
      <w:proofErr w:type="spellStart"/>
      <w:r w:rsidRPr="00006C0E">
        <w:rPr>
          <w:i/>
          <w:iCs/>
        </w:rPr>
        <w:t>hametz</w:t>
      </w:r>
      <w:proofErr w:type="spellEnd"/>
      <w:r w:rsidRPr="00006C0E">
        <w:rPr>
          <w:i/>
          <w:iCs/>
        </w:rPr>
        <w:t>. (</w:t>
      </w:r>
      <w:proofErr w:type="spellStart"/>
      <w:r w:rsidRPr="00006C0E">
        <w:rPr>
          <w:i/>
          <w:iCs/>
        </w:rPr>
        <w:t>hefta</w:t>
      </w:r>
      <w:proofErr w:type="spellEnd"/>
      <w:r w:rsidRPr="00006C0E">
        <w:rPr>
          <w:i/>
          <w:iCs/>
        </w:rPr>
        <w:t xml:space="preserve"> and gavra)</w:t>
      </w:r>
    </w:p>
    <w:p w:rsidR="007D237B" w:rsidRDefault="007D237B" w:rsidP="007D237B"/>
    <w:p w:rsidR="004C4EAC" w:rsidRDefault="004C4EAC" w:rsidP="004C4EAC">
      <w:pPr>
        <w:jc w:val="center"/>
        <w:rPr>
          <w:sz w:val="22"/>
          <w:szCs w:val="22"/>
        </w:rPr>
      </w:pPr>
      <w:r>
        <w:rPr>
          <w:sz w:val="22"/>
          <w:szCs w:val="22"/>
        </w:rPr>
        <w:t>Classic Brisker dichotomies</w:t>
      </w:r>
    </w:p>
    <w:p w:rsidR="004C4EAC" w:rsidRDefault="004C4EAC" w:rsidP="004C4EA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4C4EAC" w:rsidTr="00ED0A90">
        <w:tc>
          <w:tcPr>
            <w:tcW w:w="4428" w:type="dxa"/>
          </w:tcPr>
          <w:p w:rsidR="004C4EAC" w:rsidRDefault="004C4EAC" w:rsidP="00ED0A90">
            <w:r>
              <w:t>Internal</w:t>
            </w:r>
          </w:p>
        </w:tc>
        <w:tc>
          <w:tcPr>
            <w:tcW w:w="4428" w:type="dxa"/>
          </w:tcPr>
          <w:p w:rsidR="004C4EAC" w:rsidRDefault="004C4EAC" w:rsidP="00ED0A90">
            <w:r>
              <w:t>External</w:t>
            </w:r>
          </w:p>
        </w:tc>
      </w:tr>
      <w:tr w:rsidR="004C4EAC" w:rsidTr="00ED0A90">
        <w:tc>
          <w:tcPr>
            <w:tcW w:w="4428" w:type="dxa"/>
          </w:tcPr>
          <w:p w:rsidR="004C4EAC" w:rsidRDefault="004C4EAC" w:rsidP="00ED0A90">
            <w:r>
              <w:t>Essential</w:t>
            </w:r>
          </w:p>
        </w:tc>
        <w:tc>
          <w:tcPr>
            <w:tcW w:w="4428" w:type="dxa"/>
          </w:tcPr>
          <w:p w:rsidR="004C4EAC" w:rsidRDefault="004C4EAC" w:rsidP="00ED0A90">
            <w:r>
              <w:t>Circumstantial</w:t>
            </w:r>
          </w:p>
        </w:tc>
      </w:tr>
      <w:tr w:rsidR="004C4EAC" w:rsidTr="00ED0A90">
        <w:tc>
          <w:tcPr>
            <w:tcW w:w="4428" w:type="dxa"/>
          </w:tcPr>
          <w:p w:rsidR="004C4EAC" w:rsidRDefault="004C4EAC" w:rsidP="00ED0A90">
            <w:proofErr w:type="spellStart"/>
            <w:r>
              <w:t>Intrisic</w:t>
            </w:r>
            <w:proofErr w:type="spellEnd"/>
          </w:p>
        </w:tc>
        <w:tc>
          <w:tcPr>
            <w:tcW w:w="4428" w:type="dxa"/>
          </w:tcPr>
          <w:p w:rsidR="004C4EAC" w:rsidRDefault="004C4EAC" w:rsidP="00ED0A90">
            <w:r>
              <w:t>Extrinsic</w:t>
            </w:r>
          </w:p>
        </w:tc>
      </w:tr>
      <w:tr w:rsidR="004C4EAC" w:rsidTr="00ED0A90">
        <w:tc>
          <w:tcPr>
            <w:tcW w:w="4428" w:type="dxa"/>
          </w:tcPr>
          <w:p w:rsidR="004C4EAC" w:rsidRDefault="004C4EAC" w:rsidP="00ED0A90">
            <w:r>
              <w:t>Universal</w:t>
            </w:r>
          </w:p>
        </w:tc>
        <w:tc>
          <w:tcPr>
            <w:tcW w:w="4428" w:type="dxa"/>
          </w:tcPr>
          <w:p w:rsidR="004C4EAC" w:rsidRDefault="004C4EAC" w:rsidP="00ED0A90">
            <w:r>
              <w:t>Local</w:t>
            </w:r>
          </w:p>
        </w:tc>
      </w:tr>
      <w:tr w:rsidR="004C4EAC" w:rsidTr="00ED0A90">
        <w:tc>
          <w:tcPr>
            <w:tcW w:w="4428" w:type="dxa"/>
          </w:tcPr>
          <w:p w:rsidR="004C4EAC" w:rsidRDefault="004C4EAC" w:rsidP="00ED0A90">
            <w:r>
              <w:t xml:space="preserve">Legal </w:t>
            </w:r>
          </w:p>
        </w:tc>
        <w:tc>
          <w:tcPr>
            <w:tcW w:w="4428" w:type="dxa"/>
          </w:tcPr>
          <w:p w:rsidR="004C4EAC" w:rsidRDefault="004C4EAC" w:rsidP="00ED0A90">
            <w:r>
              <w:t>Factual</w:t>
            </w:r>
          </w:p>
        </w:tc>
      </w:tr>
      <w:tr w:rsidR="004C4EAC" w:rsidTr="00ED0A90">
        <w:tc>
          <w:tcPr>
            <w:tcW w:w="4428" w:type="dxa"/>
          </w:tcPr>
          <w:p w:rsidR="004C4EAC" w:rsidRPr="00E345C3" w:rsidRDefault="004C4EAC" w:rsidP="00ED0A90">
            <w:pPr>
              <w:rPr>
                <w:i/>
                <w:iCs/>
              </w:rPr>
            </w:pPr>
            <w:proofErr w:type="spellStart"/>
            <w:r w:rsidRPr="00E345C3">
              <w:rPr>
                <w:i/>
                <w:iCs/>
              </w:rPr>
              <w:t>heftza</w:t>
            </w:r>
            <w:proofErr w:type="spellEnd"/>
          </w:p>
        </w:tc>
        <w:tc>
          <w:tcPr>
            <w:tcW w:w="4428" w:type="dxa"/>
          </w:tcPr>
          <w:p w:rsidR="004C4EAC" w:rsidRPr="00E345C3" w:rsidRDefault="004C4EAC" w:rsidP="00ED0A90">
            <w:pPr>
              <w:rPr>
                <w:i/>
                <w:iCs/>
              </w:rPr>
            </w:pPr>
            <w:r w:rsidRPr="00E345C3">
              <w:rPr>
                <w:i/>
                <w:iCs/>
              </w:rPr>
              <w:t>Gavra</w:t>
            </w:r>
          </w:p>
        </w:tc>
      </w:tr>
      <w:tr w:rsidR="004C4EAC" w:rsidTr="00ED0A90">
        <w:tc>
          <w:tcPr>
            <w:tcW w:w="4428" w:type="dxa"/>
          </w:tcPr>
          <w:p w:rsidR="004C4EAC" w:rsidRPr="00E345C3" w:rsidRDefault="004C4EAC" w:rsidP="00ED0A90">
            <w:pPr>
              <w:rPr>
                <w:i/>
                <w:iCs/>
              </w:rPr>
            </w:pPr>
          </w:p>
        </w:tc>
        <w:tc>
          <w:tcPr>
            <w:tcW w:w="4428" w:type="dxa"/>
          </w:tcPr>
          <w:p w:rsidR="004C4EAC" w:rsidRPr="00E345C3" w:rsidRDefault="004C4EAC" w:rsidP="00ED0A90">
            <w:pPr>
              <w:rPr>
                <w:i/>
                <w:iCs/>
              </w:rPr>
            </w:pPr>
          </w:p>
        </w:tc>
      </w:tr>
    </w:tbl>
    <w:p w:rsidR="004C4EAC" w:rsidRDefault="004C4EAC" w:rsidP="007D237B"/>
    <w:p w:rsidR="007D237B" w:rsidRPr="00E95654" w:rsidRDefault="007D237B" w:rsidP="00E95654">
      <w:pPr>
        <w:ind w:firstLine="360"/>
      </w:pPr>
      <w:r>
        <w:t xml:space="preserve">2. </w:t>
      </w:r>
      <w:proofErr w:type="spellStart"/>
      <w:r w:rsidRPr="007B6AE8">
        <w:rPr>
          <w:i/>
        </w:rPr>
        <w:t>Shaatnez</w:t>
      </w:r>
      <w:proofErr w:type="spellEnd"/>
      <w:r>
        <w:t xml:space="preserve"> in the </w:t>
      </w:r>
      <w:proofErr w:type="spellStart"/>
      <w:r>
        <w:t>Kohanic</w:t>
      </w:r>
      <w:proofErr w:type="spellEnd"/>
      <w:r>
        <w:t xml:space="preserve"> Vestments: Legal and factual states of nature</w:t>
      </w:r>
    </w:p>
    <w:p w:rsidR="009752AA" w:rsidRDefault="009752AA" w:rsidP="007D237B">
      <w:pPr>
        <w:ind w:left="720" w:right="720"/>
        <w:jc w:val="right"/>
        <w:rPr>
          <w:sz w:val="22"/>
          <w:szCs w:val="22"/>
        </w:rPr>
      </w:pPr>
    </w:p>
    <w:p w:rsidR="009752AA" w:rsidRPr="00E95654" w:rsidRDefault="009752AA" w:rsidP="009752AA">
      <w:pPr>
        <w:autoSpaceDE w:val="0"/>
        <w:autoSpaceDN w:val="0"/>
        <w:bidi/>
        <w:adjustRightInd w:val="0"/>
        <w:rPr>
          <w:rFonts w:ascii="ResponsaTTF" w:cs="David Transparent"/>
          <w:b/>
          <w:bCs/>
          <w:color w:val="000000"/>
          <w:rtl/>
        </w:rPr>
      </w:pP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רמב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>"</w:t>
      </w: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ם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 xml:space="preserve"> </w:t>
      </w: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הלכות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 xml:space="preserve"> </w:t>
      </w: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כלאים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 xml:space="preserve"> </w:t>
      </w: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פרק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 xml:space="preserve"> </w:t>
      </w:r>
      <w:r w:rsidRPr="00D335DE">
        <w:rPr>
          <w:rFonts w:ascii="ResponsaTTF" w:cs="David Transparent" w:hint="cs"/>
          <w:b/>
          <w:bCs/>
          <w:color w:val="000000"/>
          <w:u w:val="single"/>
          <w:rtl/>
          <w:lang w:bidi="he-IL"/>
        </w:rPr>
        <w:t>י</w:t>
      </w:r>
      <w:r w:rsidRPr="00D335DE">
        <w:rPr>
          <w:rFonts w:ascii="ResponsaTTF" w:cs="David Transparent"/>
          <w:b/>
          <w:bCs/>
          <w:color w:val="000000"/>
          <w:u w:val="single"/>
          <w:rtl/>
        </w:rPr>
        <w:t xml:space="preserve"> </w:t>
      </w:r>
    </w:p>
    <w:p w:rsidR="009752AA" w:rsidRPr="00D335DE" w:rsidRDefault="009752AA" w:rsidP="009752AA">
      <w:pPr>
        <w:autoSpaceDE w:val="0"/>
        <w:autoSpaceDN w:val="0"/>
        <w:bidi/>
        <w:adjustRightInd w:val="0"/>
        <w:rPr>
          <w:rFonts w:ascii="ResponsaTTF" w:cs="David Transparent"/>
          <w:color w:val="000000"/>
          <w:rtl/>
        </w:rPr>
      </w:pPr>
    </w:p>
    <w:p w:rsidR="00E749AD" w:rsidRDefault="009752AA" w:rsidP="009752AA">
      <w:pPr>
        <w:autoSpaceDE w:val="0"/>
        <w:autoSpaceDN w:val="0"/>
        <w:bidi/>
        <w:adjustRightInd w:val="0"/>
        <w:rPr>
          <w:rFonts w:asciiTheme="minorHAnsi" w:hAnsiTheme="minorHAnsi" w:cs="David Transparent"/>
          <w:color w:val="000000"/>
          <w:sz w:val="18"/>
          <w:szCs w:val="18"/>
        </w:rPr>
      </w:pPr>
      <w:r w:rsidRPr="00D335DE">
        <w:rPr>
          <w:rFonts w:ascii="ResponsaTTF" w:cs="David Transparent" w:hint="cs"/>
          <w:color w:val="000000"/>
          <w:rtl/>
          <w:lang w:bidi="he-IL"/>
        </w:rPr>
        <w:t>כהנים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שלבשו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בגדי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כהונה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שלא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בשעת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עבודה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אפילו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במקדש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לוקין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מפני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האבנט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שהוא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כלאים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ולא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הותרו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בו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אלא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בשעת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עבודה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שהיא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מצות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עשה</w:t>
      </w:r>
      <w:r w:rsidRPr="00D335DE">
        <w:rPr>
          <w:rFonts w:ascii="ResponsaTTF" w:cs="David Transparent"/>
          <w:color w:val="000000"/>
          <w:rtl/>
        </w:rPr>
        <w:t xml:space="preserve"> </w:t>
      </w:r>
      <w:r w:rsidRPr="00D335DE">
        <w:rPr>
          <w:rFonts w:ascii="ResponsaTTF" w:cs="David Transparent" w:hint="cs"/>
          <w:color w:val="000000"/>
          <w:rtl/>
          <w:lang w:bidi="he-IL"/>
        </w:rPr>
        <w:t>כציצית</w:t>
      </w:r>
      <w:r w:rsidRPr="00D335DE">
        <w:rPr>
          <w:rFonts w:ascii="ResponsaTTF" w:cs="David Transparent"/>
          <w:color w:val="000000"/>
          <w:rtl/>
        </w:rPr>
        <w:t>.</w:t>
      </w:r>
      <w:r w:rsidRPr="00D335DE">
        <w:rPr>
          <w:rFonts w:ascii="ResponsaTTF" w:cs="David Transparent"/>
          <w:color w:val="000000"/>
          <w:sz w:val="18"/>
          <w:szCs w:val="18"/>
          <w:rtl/>
        </w:rPr>
        <w:t xml:space="preserve"> </w:t>
      </w:r>
    </w:p>
    <w:p w:rsidR="00E749AD" w:rsidRDefault="00E749AD" w:rsidP="00E749AD">
      <w:pPr>
        <w:autoSpaceDE w:val="0"/>
        <w:autoSpaceDN w:val="0"/>
        <w:bidi/>
        <w:adjustRightInd w:val="0"/>
        <w:rPr>
          <w:rFonts w:asciiTheme="minorHAnsi" w:hAnsiTheme="minorHAnsi" w:cs="David Transparent"/>
          <w:color w:val="000000"/>
          <w:sz w:val="18"/>
          <w:szCs w:val="18"/>
        </w:rPr>
      </w:pPr>
    </w:p>
    <w:p w:rsidR="009752AA" w:rsidRPr="00D335DE" w:rsidRDefault="009752AA" w:rsidP="00E749AD">
      <w:pPr>
        <w:autoSpaceDE w:val="0"/>
        <w:autoSpaceDN w:val="0"/>
        <w:bidi/>
        <w:adjustRightInd w:val="0"/>
        <w:rPr>
          <w:rFonts w:ascii="ResponsaTTF" w:cs="David Transparent"/>
          <w:color w:val="000000"/>
          <w:rtl/>
        </w:rPr>
      </w:pPr>
      <w:r w:rsidRPr="00E749AD">
        <w:rPr>
          <w:rFonts w:ascii="ResponsaTTF" w:cs="David Transparent"/>
          <w:color w:val="000000"/>
          <w:sz w:val="22"/>
          <w:szCs w:val="22"/>
          <w:rtl/>
        </w:rPr>
        <w:t>+/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השגת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הראב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>"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ד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/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כהנים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שלבשו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בגדי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כהונה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וכו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'.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>"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טעה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בזה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שהרי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אמרו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ביומא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בפרק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לו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כהן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גדול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במקדש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אפילו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שלא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בשעת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עבודה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מותר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ומאי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דקאמר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(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נמי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)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מפני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האבנט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שהוא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כלאים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אינו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דאטו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חושן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ואפוד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מי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לית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בהו</w:t>
      </w:r>
      <w:r w:rsidRPr="00E749AD">
        <w:rPr>
          <w:rFonts w:ascii="ResponsaTTF" w:cs="David Transparent"/>
          <w:color w:val="000000"/>
          <w:sz w:val="22"/>
          <w:szCs w:val="22"/>
          <w:rtl/>
        </w:rPr>
        <w:t xml:space="preserve"> </w:t>
      </w:r>
      <w:r w:rsidRPr="00E749AD">
        <w:rPr>
          <w:rFonts w:ascii="ResponsaTTF" w:cs="David Transparent" w:hint="cs"/>
          <w:color w:val="000000"/>
          <w:sz w:val="22"/>
          <w:szCs w:val="22"/>
          <w:rtl/>
          <w:lang w:bidi="he-IL"/>
        </w:rPr>
        <w:t>כלאים</w:t>
      </w:r>
      <w:r w:rsidRPr="00D335DE">
        <w:rPr>
          <w:rFonts w:ascii="ResponsaTTF" w:cs="David Transparent"/>
          <w:color w:val="000000"/>
          <w:sz w:val="18"/>
          <w:szCs w:val="18"/>
          <w:rtl/>
        </w:rPr>
        <w:t>.</w:t>
      </w:r>
      <w:r w:rsidRPr="00D335DE">
        <w:rPr>
          <w:rFonts w:ascii="ResponsaTTF" w:cs="David Transparent"/>
          <w:color w:val="000000"/>
          <w:rtl/>
        </w:rPr>
        <w:t xml:space="preserve"> </w:t>
      </w:r>
    </w:p>
    <w:p w:rsidR="009752AA" w:rsidRDefault="009752AA" w:rsidP="00E95654">
      <w:pPr>
        <w:ind w:right="720"/>
        <w:rPr>
          <w:sz w:val="22"/>
          <w:szCs w:val="22"/>
        </w:rPr>
      </w:pPr>
    </w:p>
    <w:p w:rsidR="009752AA" w:rsidRDefault="009752AA" w:rsidP="00E95654">
      <w:pPr>
        <w:ind w:left="720" w:right="720"/>
        <w:rPr>
          <w:sz w:val="22"/>
          <w:szCs w:val="22"/>
        </w:rPr>
      </w:pPr>
      <w:r w:rsidRPr="00112696">
        <w:rPr>
          <w:sz w:val="22"/>
          <w:szCs w:val="22"/>
        </w:rPr>
        <w:t>Grach “</w:t>
      </w:r>
      <w:proofErr w:type="spellStart"/>
      <w:r w:rsidRPr="00112696">
        <w:rPr>
          <w:i/>
          <w:sz w:val="22"/>
          <w:szCs w:val="22"/>
        </w:rPr>
        <w:t>stensil</w:t>
      </w:r>
      <w:proofErr w:type="spellEnd"/>
      <w:proofErr w:type="gramStart"/>
      <w:r>
        <w:rPr>
          <w:sz w:val="22"/>
          <w:szCs w:val="22"/>
        </w:rPr>
        <w:t xml:space="preserve">”  </w:t>
      </w:r>
      <w:r w:rsidR="00E749AD">
        <w:rPr>
          <w:sz w:val="22"/>
          <w:szCs w:val="22"/>
        </w:rPr>
        <w:t>§</w:t>
      </w:r>
      <w:proofErr w:type="gramEnd"/>
      <w:r w:rsidR="00E749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60. </w:t>
      </w:r>
    </w:p>
    <w:p w:rsidR="009752AA" w:rsidRPr="00112696" w:rsidRDefault="009752AA" w:rsidP="007D237B">
      <w:pPr>
        <w:ind w:left="720" w:right="720"/>
        <w:jc w:val="right"/>
        <w:rPr>
          <w:sz w:val="22"/>
          <w:szCs w:val="22"/>
        </w:rPr>
      </w:pPr>
    </w:p>
    <w:p w:rsidR="007D237B" w:rsidRPr="00801687" w:rsidRDefault="007D237B" w:rsidP="007D237B">
      <w:pPr>
        <w:ind w:left="720" w:right="720"/>
        <w:jc w:val="right"/>
        <w:rPr>
          <w:rFonts w:cs="David Transparent"/>
        </w:rPr>
      </w:pPr>
      <w:r w:rsidRPr="00801687">
        <w:rPr>
          <w:rFonts w:cs="David Transparent" w:hint="cs"/>
          <w:rtl/>
          <w:lang w:bidi="he-IL"/>
        </w:rPr>
        <w:t>אכן נראה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>דלכולי עלמא אין העבודה המתרת אלא הלבישה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 xml:space="preserve">ורק דפלוגתתם היא אם יש על הלבישה בגדי כהונה שלא בשעת עבודה </w:t>
      </w:r>
      <w:r w:rsidRPr="00801687">
        <w:rPr>
          <w:rFonts w:cs="David Transparent" w:hint="cs"/>
          <w:u w:val="single"/>
          <w:rtl/>
          <w:lang w:bidi="he-IL"/>
        </w:rPr>
        <w:t>דין</w:t>
      </w:r>
      <w:r w:rsidRPr="00801687">
        <w:rPr>
          <w:rFonts w:cs="David Transparent" w:hint="cs"/>
          <w:rtl/>
          <w:lang w:bidi="he-IL"/>
        </w:rPr>
        <w:t xml:space="preserve"> לבישת בגדים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>דהרמב</w:t>
      </w:r>
      <w:r w:rsidRPr="00801687">
        <w:rPr>
          <w:rFonts w:cs="David Transparent" w:hint="cs"/>
          <w:rtl/>
        </w:rPr>
        <w:t>"</w:t>
      </w:r>
      <w:r w:rsidRPr="00801687">
        <w:rPr>
          <w:rFonts w:cs="David Transparent" w:hint="cs"/>
          <w:rtl/>
          <w:lang w:bidi="he-IL"/>
        </w:rPr>
        <w:t>ם ס</w:t>
      </w:r>
      <w:r w:rsidRPr="00801687">
        <w:rPr>
          <w:rFonts w:cs="David Transparent" w:hint="cs"/>
          <w:rtl/>
        </w:rPr>
        <w:t>"</w:t>
      </w:r>
      <w:r w:rsidRPr="00801687">
        <w:rPr>
          <w:rFonts w:cs="David Transparent" w:hint="cs"/>
          <w:rtl/>
          <w:lang w:bidi="he-IL"/>
        </w:rPr>
        <w:t xml:space="preserve">ל </w:t>
      </w:r>
      <w:r w:rsidRPr="00801687">
        <w:rPr>
          <w:rFonts w:cs="David Transparent" w:hint="cs"/>
          <w:rtl/>
        </w:rPr>
        <w:t>[</w:t>
      </w:r>
      <w:r w:rsidRPr="00801687">
        <w:rPr>
          <w:rFonts w:cs="David Transparent" w:hint="cs"/>
          <w:rtl/>
          <w:lang w:bidi="he-IL"/>
        </w:rPr>
        <w:t>סבירא ליה</w:t>
      </w:r>
      <w:r w:rsidRPr="00801687">
        <w:rPr>
          <w:rFonts w:cs="David Transparent" w:hint="cs"/>
          <w:rtl/>
        </w:rPr>
        <w:t xml:space="preserve">] </w:t>
      </w:r>
      <w:r w:rsidRPr="00801687">
        <w:rPr>
          <w:rFonts w:cs="David Transparent" w:hint="cs"/>
          <w:rtl/>
          <w:lang w:bidi="he-IL"/>
        </w:rPr>
        <w:t xml:space="preserve">דדוקא אם הלבישה היא לעבודה אז הוא דיש על הלבישה </w:t>
      </w:r>
      <w:r w:rsidRPr="00801687">
        <w:rPr>
          <w:rFonts w:cs="David Transparent" w:hint="cs"/>
          <w:u w:val="single"/>
          <w:rtl/>
          <w:lang w:bidi="he-IL"/>
        </w:rPr>
        <w:t>דין</w:t>
      </w:r>
      <w:r w:rsidRPr="00801687">
        <w:rPr>
          <w:rFonts w:cs="David Transparent" w:hint="cs"/>
          <w:rtl/>
          <w:lang w:bidi="he-IL"/>
        </w:rPr>
        <w:t xml:space="preserve"> לבישת בגדי כהונה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>והיא המתרת לאיסור כלאים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 xml:space="preserve">אבל שלא צורך עבודה אין עלה </w:t>
      </w:r>
      <w:r w:rsidRPr="00801687">
        <w:rPr>
          <w:rFonts w:cs="David Transparent" w:hint="cs"/>
          <w:u w:val="single"/>
          <w:rtl/>
          <w:lang w:bidi="he-IL"/>
        </w:rPr>
        <w:t>שם</w:t>
      </w:r>
      <w:r w:rsidRPr="00801687">
        <w:rPr>
          <w:rFonts w:cs="David Transparent" w:hint="cs"/>
          <w:rtl/>
          <w:lang w:bidi="he-IL"/>
        </w:rPr>
        <w:t xml:space="preserve"> לבישת בגדי כהונה כלל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>והראב</w:t>
      </w:r>
      <w:r w:rsidRPr="00801687">
        <w:rPr>
          <w:rFonts w:cs="David Transparent" w:hint="cs"/>
          <w:rtl/>
        </w:rPr>
        <w:t>"</w:t>
      </w:r>
      <w:r w:rsidRPr="00801687">
        <w:rPr>
          <w:rFonts w:cs="David Transparent" w:hint="cs"/>
          <w:rtl/>
          <w:lang w:bidi="he-IL"/>
        </w:rPr>
        <w:t xml:space="preserve">ד חולק וסובר דגם שלא בשעת עבודה יש על הלבישה </w:t>
      </w:r>
      <w:r w:rsidRPr="00801687">
        <w:rPr>
          <w:rFonts w:cs="David Transparent" w:hint="cs"/>
          <w:u w:val="single"/>
          <w:rtl/>
          <w:lang w:bidi="he-IL"/>
        </w:rPr>
        <w:t>די</w:t>
      </w:r>
      <w:r w:rsidRPr="00801687">
        <w:rPr>
          <w:rFonts w:cs="David Transparent" w:hint="cs"/>
          <w:rtl/>
          <w:lang w:bidi="he-IL"/>
        </w:rPr>
        <w:t>ן לבישת בגדי כהונה</w:t>
      </w:r>
      <w:r w:rsidRPr="00801687">
        <w:rPr>
          <w:rFonts w:cs="David Transparent" w:hint="cs"/>
          <w:rtl/>
        </w:rPr>
        <w:t xml:space="preserve">, </w:t>
      </w:r>
      <w:r w:rsidRPr="00801687">
        <w:rPr>
          <w:rFonts w:cs="David Transparent" w:hint="cs"/>
          <w:rtl/>
          <w:lang w:bidi="he-IL"/>
        </w:rPr>
        <w:t>ויש כאן מה שיתיר איסור כלאים</w:t>
      </w:r>
    </w:p>
    <w:p w:rsidR="007D237B" w:rsidRPr="00112696" w:rsidRDefault="007D237B" w:rsidP="007D237B">
      <w:pPr>
        <w:ind w:left="720" w:right="720"/>
        <w:jc w:val="both"/>
        <w:rPr>
          <w:sz w:val="22"/>
          <w:szCs w:val="22"/>
        </w:rPr>
      </w:pPr>
    </w:p>
    <w:p w:rsidR="007D237B" w:rsidRPr="007D237B" w:rsidRDefault="007D237B" w:rsidP="007D237B">
      <w:pPr>
        <w:ind w:left="720" w:right="720"/>
        <w:jc w:val="both"/>
        <w:rPr>
          <w:rFonts w:ascii="Garamond" w:hAnsi="Garamond"/>
        </w:rPr>
      </w:pPr>
      <w:r w:rsidRPr="007D237B">
        <w:rPr>
          <w:rFonts w:ascii="Garamond" w:hAnsi="Garamond"/>
        </w:rPr>
        <w:t xml:space="preserve">According to both opinions, service in the Temple does not act as the “permitting factor,” but rather, the wearing of the </w:t>
      </w:r>
      <w:proofErr w:type="spellStart"/>
      <w:r w:rsidRPr="007D237B">
        <w:rPr>
          <w:rFonts w:ascii="Garamond" w:hAnsi="Garamond"/>
        </w:rPr>
        <w:t>Kohanic</w:t>
      </w:r>
      <w:proofErr w:type="spellEnd"/>
      <w:r w:rsidRPr="007D237B">
        <w:rPr>
          <w:rFonts w:ascii="Garamond" w:hAnsi="Garamond"/>
        </w:rPr>
        <w:t xml:space="preserve"> vestments themselves is what permits </w:t>
      </w:r>
      <w:proofErr w:type="spellStart"/>
      <w:r w:rsidRPr="007D237B">
        <w:rPr>
          <w:rFonts w:ascii="Garamond" w:hAnsi="Garamond"/>
          <w:i/>
        </w:rPr>
        <w:t>sha’atnez</w:t>
      </w:r>
      <w:proofErr w:type="spellEnd"/>
      <w:r w:rsidRPr="007D237B">
        <w:rPr>
          <w:rFonts w:ascii="Garamond" w:hAnsi="Garamond"/>
        </w:rPr>
        <w:t xml:space="preserve">.  But the argument between [Rambam and </w:t>
      </w:r>
      <w:proofErr w:type="spellStart"/>
      <w:r w:rsidRPr="007D237B">
        <w:rPr>
          <w:rFonts w:ascii="Garamond" w:hAnsi="Garamond"/>
        </w:rPr>
        <w:t>Raa’vad</w:t>
      </w:r>
      <w:proofErr w:type="spellEnd"/>
      <w:r w:rsidRPr="007D237B">
        <w:rPr>
          <w:rFonts w:ascii="Garamond" w:hAnsi="Garamond"/>
        </w:rPr>
        <w:t xml:space="preserve">] concerns whether there is </w:t>
      </w:r>
      <w:r w:rsidRPr="007D237B">
        <w:rPr>
          <w:rFonts w:ascii="Garamond" w:hAnsi="Garamond"/>
          <w:i/>
        </w:rPr>
        <w:t>din</w:t>
      </w:r>
      <w:r w:rsidRPr="007D237B">
        <w:rPr>
          <w:rFonts w:ascii="Garamond" w:hAnsi="Garamond"/>
        </w:rPr>
        <w:t xml:space="preserve"> [status; legal effect] of “wearing </w:t>
      </w:r>
      <w:r w:rsidRPr="007D237B">
        <w:rPr>
          <w:rFonts w:ascii="Garamond" w:hAnsi="Garamond"/>
        </w:rPr>
        <w:lastRenderedPageBreak/>
        <w:t xml:space="preserve">the vestments” when one is not performing Temple service. Rambam holds that the </w:t>
      </w:r>
      <w:r w:rsidRPr="007D237B">
        <w:rPr>
          <w:rFonts w:ascii="Garamond" w:hAnsi="Garamond"/>
          <w:i/>
        </w:rPr>
        <w:t>din</w:t>
      </w:r>
      <w:r w:rsidRPr="007D237B">
        <w:rPr>
          <w:rFonts w:ascii="Garamond" w:hAnsi="Garamond"/>
        </w:rPr>
        <w:t xml:space="preserve"> [status] of “wearing the vestments” only applies when they are worn for the purpose of performing Temple service, and this the “permitting factor” for the </w:t>
      </w:r>
      <w:proofErr w:type="spellStart"/>
      <w:r w:rsidRPr="007D237B">
        <w:rPr>
          <w:rFonts w:ascii="Garamond" w:hAnsi="Garamond"/>
          <w:i/>
        </w:rPr>
        <w:t>sha’atnez</w:t>
      </w:r>
      <w:proofErr w:type="spellEnd"/>
      <w:r w:rsidRPr="007D237B">
        <w:rPr>
          <w:rFonts w:ascii="Garamond" w:hAnsi="Garamond"/>
        </w:rPr>
        <w:t xml:space="preserve">.  But when a </w:t>
      </w:r>
      <w:proofErr w:type="spellStart"/>
      <w:r w:rsidRPr="007D237B">
        <w:rPr>
          <w:rFonts w:ascii="Garamond" w:hAnsi="Garamond"/>
        </w:rPr>
        <w:t>kohen</w:t>
      </w:r>
      <w:proofErr w:type="spellEnd"/>
      <w:r w:rsidRPr="007D237B">
        <w:rPr>
          <w:rFonts w:ascii="Garamond" w:hAnsi="Garamond"/>
        </w:rPr>
        <w:t xml:space="preserve"> wears the vestments and is not performing service, then it has no legal status of “wearing the vestments” at all. The </w:t>
      </w:r>
      <w:proofErr w:type="spellStart"/>
      <w:r w:rsidRPr="007D237B">
        <w:rPr>
          <w:rFonts w:ascii="Garamond" w:hAnsi="Garamond"/>
        </w:rPr>
        <w:t>Raa’vad</w:t>
      </w:r>
      <w:proofErr w:type="spellEnd"/>
      <w:r w:rsidRPr="007D237B">
        <w:rPr>
          <w:rFonts w:ascii="Garamond" w:hAnsi="Garamond"/>
        </w:rPr>
        <w:t xml:space="preserve">, by contrast, holds that even when one is not performing temple service, he has the status of “wearing the vestment” such that the </w:t>
      </w:r>
      <w:proofErr w:type="spellStart"/>
      <w:r w:rsidRPr="007D237B">
        <w:rPr>
          <w:rFonts w:ascii="Garamond" w:hAnsi="Garamond"/>
        </w:rPr>
        <w:t>sha’atnez</w:t>
      </w:r>
      <w:proofErr w:type="spellEnd"/>
      <w:r w:rsidRPr="007D237B">
        <w:rPr>
          <w:rFonts w:ascii="Garamond" w:hAnsi="Garamond"/>
        </w:rPr>
        <w:t xml:space="preserve"> is permitted. </w:t>
      </w:r>
    </w:p>
    <w:p w:rsidR="00801687" w:rsidRDefault="00801687" w:rsidP="007D237B"/>
    <w:p w:rsidR="00311AF6" w:rsidRDefault="00801687" w:rsidP="00311AF6">
      <w:pPr>
        <w:ind w:right="720"/>
        <w:jc w:val="both"/>
      </w:pPr>
      <w:r>
        <w:t>3</w:t>
      </w:r>
      <w:r w:rsidR="00311AF6">
        <w:t xml:space="preserve">.   From Facts to Law: Brisker </w:t>
      </w:r>
      <w:proofErr w:type="spellStart"/>
      <w:r w:rsidR="00311AF6" w:rsidRPr="001D2EF0">
        <w:rPr>
          <w:i/>
          <w:iCs/>
        </w:rPr>
        <w:t>halakhic</w:t>
      </w:r>
      <w:proofErr w:type="spellEnd"/>
      <w:r w:rsidR="00311AF6">
        <w:t xml:space="preserve"> Abstractions </w:t>
      </w:r>
    </w:p>
    <w:p w:rsidR="00311AF6" w:rsidRDefault="00311AF6" w:rsidP="00311AF6">
      <w:pPr>
        <w:ind w:right="720"/>
        <w:jc w:val="both"/>
      </w:pPr>
    </w:p>
    <w:p w:rsidR="00311AF6" w:rsidRDefault="00311AF6" w:rsidP="00311AF6">
      <w:pPr>
        <w:ind w:right="720"/>
        <w:jc w:val="both"/>
      </w:pPr>
      <w:r>
        <w:t xml:space="preserve">R. Baruch B. </w:t>
      </w:r>
      <w:proofErr w:type="spellStart"/>
      <w:r>
        <w:t>Leibovitz</w:t>
      </w:r>
      <w:proofErr w:type="spellEnd"/>
      <w:r>
        <w:t xml:space="preserve">, </w:t>
      </w:r>
      <w:proofErr w:type="spellStart"/>
      <w:r w:rsidRPr="00BD2196">
        <w:rPr>
          <w:i/>
          <w:iCs/>
        </w:rPr>
        <w:t>Birkhat</w:t>
      </w:r>
      <w:proofErr w:type="spellEnd"/>
      <w:r w:rsidRPr="00BD2196">
        <w:rPr>
          <w:i/>
          <w:iCs/>
        </w:rPr>
        <w:t xml:space="preserve"> </w:t>
      </w:r>
      <w:proofErr w:type="spellStart"/>
      <w:r w:rsidRPr="00BD2196">
        <w:rPr>
          <w:i/>
          <w:iCs/>
        </w:rPr>
        <w:t>Shmuel</w:t>
      </w:r>
      <w:proofErr w:type="spellEnd"/>
      <w:r w:rsidRPr="00BD2196">
        <w:rPr>
          <w:i/>
          <w:iCs/>
        </w:rPr>
        <w:t xml:space="preserve"> </w:t>
      </w:r>
      <w:proofErr w:type="spellStart"/>
      <w:r>
        <w:t>Yevamot</w:t>
      </w:r>
      <w:proofErr w:type="spellEnd"/>
      <w:r>
        <w:t xml:space="preserve"> s. 61</w:t>
      </w:r>
    </w:p>
    <w:p w:rsidR="00311AF6" w:rsidRDefault="00311AF6" w:rsidP="00311AF6">
      <w:pPr>
        <w:ind w:right="720"/>
        <w:jc w:val="both"/>
      </w:pPr>
    </w:p>
    <w:p w:rsidR="00311AF6" w:rsidRPr="007D237B" w:rsidRDefault="00311AF6" w:rsidP="00311AF6">
      <w:pPr>
        <w:ind w:left="720" w:right="720"/>
        <w:jc w:val="both"/>
        <w:rPr>
          <w:rFonts w:ascii="Garamond" w:hAnsi="Garamond"/>
        </w:rPr>
      </w:pPr>
      <w:r w:rsidRPr="007D237B">
        <w:rPr>
          <w:rFonts w:ascii="Garamond" w:hAnsi="Garamond"/>
        </w:rPr>
        <w:t xml:space="preserve">To explain the matter we shall investigate the disqualification of drawn water.  Is it so disqualified that </w:t>
      </w:r>
      <w:r w:rsidRPr="007D237B">
        <w:rPr>
          <w:rFonts w:ascii="Garamond" w:hAnsi="Garamond"/>
          <w:b/>
          <w:bCs/>
        </w:rPr>
        <w:t>the status of water does not attach</w:t>
      </w:r>
      <w:r w:rsidRPr="007D237B">
        <w:rPr>
          <w:rFonts w:ascii="Garamond" w:hAnsi="Garamond"/>
        </w:rPr>
        <w:t xml:space="preserve"> [to the drawn water] (</w:t>
      </w:r>
      <w:proofErr w:type="spellStart"/>
      <w:r w:rsidRPr="007D237B">
        <w:rPr>
          <w:rFonts w:ascii="Garamond" w:hAnsi="Garamond"/>
          <w:i/>
          <w:iCs/>
        </w:rPr>
        <w:t>d’lo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hal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gramStart"/>
      <w:r w:rsidRPr="007D237B">
        <w:rPr>
          <w:rFonts w:ascii="Garamond" w:hAnsi="Garamond"/>
          <w:i/>
          <w:iCs/>
        </w:rPr>
        <w:t>shem</w:t>
      </w:r>
      <w:proofErr w:type="gram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ma’yim</w:t>
      </w:r>
      <w:proofErr w:type="spellEnd"/>
      <w:r w:rsidRPr="007D237B">
        <w:rPr>
          <w:rFonts w:ascii="Garamond" w:hAnsi="Garamond"/>
        </w:rPr>
        <w:t xml:space="preserve">) and it is as if there were no water at all . . . . Or is it not like there is no water at all, and that the status of water attaches to it [the drawn water] but rather, that </w:t>
      </w:r>
      <w:r w:rsidRPr="007D237B">
        <w:rPr>
          <w:rFonts w:ascii="Garamond" w:hAnsi="Garamond"/>
          <w:b/>
          <w:bCs/>
        </w:rPr>
        <w:t>there is a principle of disqualification that attaches to the drawn water</w:t>
      </w:r>
      <w:r w:rsidRPr="007D237B">
        <w:rPr>
          <w:rFonts w:ascii="Garamond" w:hAnsi="Garamond"/>
        </w:rPr>
        <w:t>, (</w:t>
      </w:r>
      <w:r w:rsidRPr="007D237B">
        <w:rPr>
          <w:rFonts w:ascii="Garamond" w:hAnsi="Garamond"/>
          <w:i/>
          <w:iCs/>
        </w:rPr>
        <w:t xml:space="preserve">din </w:t>
      </w:r>
      <w:proofErr w:type="spellStart"/>
      <w:r w:rsidRPr="007D237B">
        <w:rPr>
          <w:rFonts w:ascii="Garamond" w:hAnsi="Garamond"/>
          <w:i/>
          <w:iCs/>
        </w:rPr>
        <w:t>p’sul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d’hal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a’laihu</w:t>
      </w:r>
      <w:proofErr w:type="spellEnd"/>
      <w:r w:rsidRPr="007D237B">
        <w:rPr>
          <w:rFonts w:ascii="Garamond" w:hAnsi="Garamond"/>
        </w:rPr>
        <w:t xml:space="preserve">), a principle of disqualification with respect to the </w:t>
      </w:r>
      <w:proofErr w:type="spellStart"/>
      <w:r w:rsidRPr="007D237B">
        <w:rPr>
          <w:rFonts w:ascii="Garamond" w:hAnsi="Garamond"/>
          <w:i/>
          <w:iCs/>
        </w:rPr>
        <w:t>mikva</w:t>
      </w:r>
      <w:proofErr w:type="spellEnd"/>
      <w:r w:rsidRPr="007D237B">
        <w:rPr>
          <w:rFonts w:ascii="Garamond" w:hAnsi="Garamond"/>
        </w:rPr>
        <w:t>.</w:t>
      </w:r>
    </w:p>
    <w:p w:rsidR="00311AF6" w:rsidRDefault="00311AF6" w:rsidP="00311AF6">
      <w:pPr>
        <w:ind w:right="720"/>
        <w:jc w:val="both"/>
      </w:pPr>
    </w:p>
    <w:p w:rsidR="00311AF6" w:rsidRDefault="00311AF6" w:rsidP="00311AF6">
      <w:pPr>
        <w:ind w:right="720"/>
        <w:jc w:val="both"/>
      </w:pPr>
      <w:proofErr w:type="spellStart"/>
      <w:r w:rsidRPr="00311AF6">
        <w:rPr>
          <w:i/>
        </w:rPr>
        <w:t>Birckhat</w:t>
      </w:r>
      <w:proofErr w:type="spellEnd"/>
      <w:r w:rsidRPr="00311AF6">
        <w:rPr>
          <w:i/>
        </w:rPr>
        <w:t xml:space="preserve"> </w:t>
      </w:r>
      <w:proofErr w:type="spellStart"/>
      <w:r w:rsidRPr="00311AF6">
        <w:rPr>
          <w:i/>
        </w:rPr>
        <w:t>Shmuel</w:t>
      </w:r>
      <w:proofErr w:type="spellEnd"/>
      <w:r>
        <w:t xml:space="preserve">, (Introduction). </w:t>
      </w:r>
    </w:p>
    <w:p w:rsidR="00311AF6" w:rsidRPr="00BD2196" w:rsidRDefault="00311AF6" w:rsidP="00311AF6">
      <w:pPr>
        <w:ind w:right="720"/>
        <w:jc w:val="both"/>
        <w:rPr>
          <w:sz w:val="22"/>
          <w:szCs w:val="22"/>
        </w:rPr>
      </w:pPr>
    </w:p>
    <w:p w:rsidR="00311AF6" w:rsidRPr="00E95654" w:rsidRDefault="00311AF6" w:rsidP="00E95654">
      <w:pPr>
        <w:ind w:left="720" w:right="720"/>
        <w:jc w:val="both"/>
        <w:rPr>
          <w:rFonts w:ascii="Garamond" w:hAnsi="Garamond"/>
        </w:rPr>
      </w:pPr>
      <w:r w:rsidRPr="007D237B">
        <w:rPr>
          <w:rFonts w:ascii="Garamond" w:hAnsi="Garamond"/>
        </w:rPr>
        <w:t xml:space="preserve">Spirituality </w:t>
      </w:r>
      <w:r>
        <w:rPr>
          <w:rFonts w:ascii="Garamond" w:hAnsi="Garamond"/>
        </w:rPr>
        <w:t>[</w:t>
      </w:r>
      <w:proofErr w:type="spellStart"/>
      <w:r w:rsidRPr="002B2A66">
        <w:rPr>
          <w:rFonts w:ascii="Garamond" w:hAnsi="Garamond"/>
          <w:i/>
        </w:rPr>
        <w:t>Ruchniyut</w:t>
      </w:r>
      <w:proofErr w:type="spellEnd"/>
      <w:r>
        <w:rPr>
          <w:rFonts w:ascii="Garamond" w:hAnsi="Garamond"/>
        </w:rPr>
        <w:t xml:space="preserve">] </w:t>
      </w:r>
      <w:r w:rsidRPr="007D237B">
        <w:rPr>
          <w:rFonts w:ascii="Garamond" w:hAnsi="Garamond"/>
        </w:rPr>
        <w:t xml:space="preserve">and anything understood through the logic of the Torah took on a physical existence.  This was emphasized in all his mannerisms and especially in his explanations of </w:t>
      </w:r>
      <w:proofErr w:type="spellStart"/>
      <w:r w:rsidRPr="007D237B">
        <w:rPr>
          <w:rFonts w:ascii="Garamond" w:hAnsi="Garamond"/>
          <w:i/>
          <w:iCs/>
        </w:rPr>
        <w:t>halakhic</w:t>
      </w:r>
      <w:proofErr w:type="spellEnd"/>
      <w:r w:rsidRPr="007D237B">
        <w:rPr>
          <w:rFonts w:ascii="Garamond" w:hAnsi="Garamond"/>
        </w:rPr>
        <w:t xml:space="preserve"> concepts.  He would thus explain that that an ox that is ownerless and is not included within the legal category of an “ox that damages” [since there is no one to pay for the damage] is therefore </w:t>
      </w:r>
      <w:r w:rsidRPr="007D237B">
        <w:rPr>
          <w:rFonts w:ascii="Garamond" w:hAnsi="Garamond"/>
          <w:b/>
          <w:bCs/>
          <w:i/>
          <w:iCs/>
        </w:rPr>
        <w:t>not an ox</w:t>
      </w:r>
      <w:r w:rsidRPr="007D237B">
        <w:rPr>
          <w:rFonts w:ascii="Garamond" w:hAnsi="Garamond"/>
        </w:rPr>
        <w:t xml:space="preserve">! . . . Similarly with regard to the </w:t>
      </w:r>
      <w:proofErr w:type="spellStart"/>
      <w:r w:rsidRPr="007D237B">
        <w:rPr>
          <w:rFonts w:ascii="Garamond" w:hAnsi="Garamond"/>
          <w:i/>
          <w:iCs/>
        </w:rPr>
        <w:t>heftza</w:t>
      </w:r>
      <w:proofErr w:type="spellEnd"/>
      <w:r w:rsidRPr="007D237B">
        <w:rPr>
          <w:rFonts w:ascii="Garamond" w:hAnsi="Garamond"/>
        </w:rPr>
        <w:t>, which according to his understanding and expression every spiritual [</w:t>
      </w:r>
      <w:proofErr w:type="spellStart"/>
      <w:r w:rsidRPr="007D237B">
        <w:rPr>
          <w:rFonts w:ascii="Garamond" w:hAnsi="Garamond"/>
        </w:rPr>
        <w:t>halakhic</w:t>
      </w:r>
      <w:proofErr w:type="spellEnd"/>
      <w:r w:rsidRPr="007D237B">
        <w:rPr>
          <w:rFonts w:ascii="Garamond" w:hAnsi="Garamond"/>
        </w:rPr>
        <w:t xml:space="preserve">] matter was considered a </w:t>
      </w:r>
      <w:proofErr w:type="spellStart"/>
      <w:r w:rsidRPr="007D237B">
        <w:rPr>
          <w:rFonts w:ascii="Garamond" w:hAnsi="Garamond"/>
          <w:i/>
          <w:iCs/>
        </w:rPr>
        <w:t>heftza</w:t>
      </w:r>
      <w:proofErr w:type="spellEnd"/>
      <w:r w:rsidRPr="007D237B">
        <w:rPr>
          <w:rFonts w:ascii="Garamond" w:hAnsi="Garamond"/>
        </w:rPr>
        <w:t xml:space="preserve"> [object; reality].  For example, regarding the concept of </w:t>
      </w:r>
      <w:r w:rsidR="002B2A66">
        <w:rPr>
          <w:rFonts w:ascii="Garamond" w:hAnsi="Garamond"/>
        </w:rPr>
        <w:t>will/</w:t>
      </w:r>
      <w:r w:rsidRPr="007D237B">
        <w:rPr>
          <w:rFonts w:ascii="Garamond" w:hAnsi="Garamond"/>
        </w:rPr>
        <w:t xml:space="preserve">intent in a transaction, he would explain that </w:t>
      </w:r>
      <w:r w:rsidR="002B2A66">
        <w:rPr>
          <w:rFonts w:ascii="Garamond" w:hAnsi="Garamond"/>
        </w:rPr>
        <w:t xml:space="preserve">the will </w:t>
      </w:r>
      <w:r w:rsidRPr="007D237B">
        <w:rPr>
          <w:rFonts w:ascii="Garamond" w:hAnsi="Garamond"/>
        </w:rPr>
        <w:t>creates an onset of the object [reality?] of the transaction,</w:t>
      </w:r>
      <w:r w:rsidRPr="007D237B">
        <w:rPr>
          <w:rFonts w:ascii="Garamond" w:hAnsi="Garamond"/>
          <w:i/>
          <w:iCs/>
        </w:rPr>
        <w:t xml:space="preserve"> </w:t>
      </w:r>
      <w:r w:rsidRPr="007D237B">
        <w:rPr>
          <w:rFonts w:ascii="Garamond" w:hAnsi="Garamond"/>
        </w:rPr>
        <w:t>(</w:t>
      </w:r>
      <w:proofErr w:type="spellStart"/>
      <w:r w:rsidRPr="007D237B">
        <w:rPr>
          <w:rFonts w:ascii="Garamond" w:hAnsi="Garamond"/>
          <w:i/>
          <w:iCs/>
        </w:rPr>
        <w:t>she’hadda’at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hu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ha’ose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halot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heftza</w:t>
      </w:r>
      <w:proofErr w:type="spellEnd"/>
      <w:r w:rsidRPr="007D237B">
        <w:rPr>
          <w:rFonts w:ascii="Garamond" w:hAnsi="Garamond"/>
          <w:i/>
          <w:iCs/>
        </w:rPr>
        <w:t xml:space="preserve"> </w:t>
      </w:r>
      <w:proofErr w:type="spellStart"/>
      <w:r w:rsidRPr="007D237B">
        <w:rPr>
          <w:rFonts w:ascii="Garamond" w:hAnsi="Garamond"/>
          <w:i/>
          <w:iCs/>
        </w:rPr>
        <w:t>shel</w:t>
      </w:r>
      <w:proofErr w:type="spellEnd"/>
      <w:r w:rsidRPr="007D237B">
        <w:rPr>
          <w:rFonts w:ascii="Garamond" w:hAnsi="Garamond"/>
          <w:i/>
          <w:iCs/>
        </w:rPr>
        <w:t xml:space="preserve"> kinyan</w:t>
      </w:r>
      <w:r w:rsidRPr="007D237B">
        <w:rPr>
          <w:rFonts w:ascii="Garamond" w:hAnsi="Garamond"/>
        </w:rPr>
        <w:t xml:space="preserve">) and many similar examples. </w:t>
      </w:r>
    </w:p>
    <w:p w:rsidR="00311AF6" w:rsidRDefault="00311AF6" w:rsidP="00311AF6">
      <w:pPr>
        <w:ind w:firstLine="720"/>
      </w:pPr>
    </w:p>
    <w:p w:rsidR="00311AF6" w:rsidRDefault="00E02B94" w:rsidP="00311AF6">
      <w:r>
        <w:t>4</w:t>
      </w:r>
      <w:r w:rsidR="00311AF6">
        <w:t xml:space="preserve">.  Transactions and digging: </w:t>
      </w:r>
      <w:proofErr w:type="spellStart"/>
      <w:r w:rsidR="00311AF6">
        <w:t>Reb</w:t>
      </w:r>
      <w:proofErr w:type="spellEnd"/>
      <w:r w:rsidR="00311AF6">
        <w:t xml:space="preserve"> Shimon </w:t>
      </w:r>
      <w:proofErr w:type="spellStart"/>
      <w:r w:rsidR="00311AF6">
        <w:t>Skop’s</w:t>
      </w:r>
      <w:proofErr w:type="spellEnd"/>
      <w:r w:rsidR="00311AF6">
        <w:t xml:space="preserve"> sense of </w:t>
      </w:r>
      <w:proofErr w:type="spellStart"/>
      <w:r w:rsidR="00311AF6">
        <w:t>halakhic</w:t>
      </w:r>
      <w:proofErr w:type="spellEnd"/>
      <w:r w:rsidR="00311AF6">
        <w:t xml:space="preserve"> space.  </w:t>
      </w:r>
    </w:p>
    <w:p w:rsidR="00311AF6" w:rsidRDefault="00311AF6" w:rsidP="00311AF6"/>
    <w:p w:rsidR="00311AF6" w:rsidRDefault="00E02B94" w:rsidP="00311AF6">
      <w:r>
        <w:t>5</w:t>
      </w:r>
      <w:r w:rsidR="00311AF6">
        <w:t>. Brisker Jokes:</w:t>
      </w:r>
      <w:r w:rsidR="00311AF6" w:rsidRPr="001D2EF0">
        <w:rPr>
          <w:i/>
          <w:iCs/>
        </w:rPr>
        <w:t xml:space="preserve"> </w:t>
      </w:r>
      <w:proofErr w:type="spellStart"/>
      <w:r w:rsidR="00311AF6" w:rsidRPr="001D2EF0">
        <w:rPr>
          <w:i/>
          <w:iCs/>
        </w:rPr>
        <w:t>keli</w:t>
      </w:r>
      <w:proofErr w:type="spellEnd"/>
      <w:r w:rsidR="00311AF6" w:rsidRPr="001D2EF0">
        <w:rPr>
          <w:i/>
          <w:iCs/>
        </w:rPr>
        <w:t xml:space="preserve"> </w:t>
      </w:r>
      <w:proofErr w:type="spellStart"/>
      <w:r w:rsidR="00311AF6" w:rsidRPr="001D2EF0">
        <w:rPr>
          <w:i/>
          <w:iCs/>
        </w:rPr>
        <w:t>sheini</w:t>
      </w:r>
      <w:proofErr w:type="spellEnd"/>
      <w:r w:rsidR="00311AF6" w:rsidRPr="001D2EF0">
        <w:rPr>
          <w:i/>
          <w:iCs/>
        </w:rPr>
        <w:t xml:space="preserve"> </w:t>
      </w:r>
      <w:proofErr w:type="spellStart"/>
      <w:r w:rsidR="00311AF6" w:rsidRPr="001D2EF0">
        <w:rPr>
          <w:i/>
          <w:iCs/>
        </w:rPr>
        <w:t>ayno</w:t>
      </w:r>
      <w:proofErr w:type="spellEnd"/>
      <w:r w:rsidR="00311AF6" w:rsidRPr="001D2EF0">
        <w:rPr>
          <w:i/>
          <w:iCs/>
        </w:rPr>
        <w:t xml:space="preserve"> </w:t>
      </w:r>
      <w:proofErr w:type="spellStart"/>
      <w:r w:rsidR="00311AF6" w:rsidRPr="001D2EF0">
        <w:rPr>
          <w:i/>
          <w:iCs/>
        </w:rPr>
        <w:t>mevashel</w:t>
      </w:r>
      <w:proofErr w:type="spellEnd"/>
      <w:r w:rsidR="00311AF6">
        <w:t xml:space="preserve"> </w:t>
      </w:r>
    </w:p>
    <w:p w:rsidR="007D237B" w:rsidRDefault="007D237B" w:rsidP="007D237B"/>
    <w:p w:rsidR="007D237B" w:rsidRDefault="00871F56" w:rsidP="007D237B">
      <w:r>
        <w:t>6</w:t>
      </w:r>
      <w:r w:rsidR="007D237B">
        <w:t>.  A more Philosophical Account</w:t>
      </w:r>
      <w:proofErr w:type="gramStart"/>
      <w:r w:rsidR="007D237B">
        <w:t>,  Rabbi</w:t>
      </w:r>
      <w:proofErr w:type="gramEnd"/>
      <w:r w:rsidR="007D237B">
        <w:t xml:space="preserve"> Joseph B. </w:t>
      </w:r>
      <w:proofErr w:type="spellStart"/>
      <w:r w:rsidR="007D237B">
        <w:t>Solovietchik</w:t>
      </w:r>
      <w:proofErr w:type="spellEnd"/>
    </w:p>
    <w:p w:rsidR="007D237B" w:rsidRPr="001D2EF0" w:rsidRDefault="007D237B" w:rsidP="007D237B">
      <w:r>
        <w:t xml:space="preserve"> </w:t>
      </w:r>
      <w:r w:rsidRPr="005A17C2">
        <w:rPr>
          <w:i/>
          <w:iCs/>
        </w:rPr>
        <w:t xml:space="preserve">Ma </w:t>
      </w:r>
      <w:proofErr w:type="spellStart"/>
      <w:r w:rsidRPr="005A17C2">
        <w:rPr>
          <w:i/>
          <w:iCs/>
        </w:rPr>
        <w:t>Dodekh</w:t>
      </w:r>
      <w:proofErr w:type="spellEnd"/>
      <w:r w:rsidRPr="005A17C2">
        <w:rPr>
          <w:i/>
          <w:iCs/>
        </w:rPr>
        <w:t xml:space="preserve"> </w:t>
      </w:r>
      <w:proofErr w:type="spellStart"/>
      <w:proofErr w:type="gramStart"/>
      <w:r w:rsidRPr="005A17C2">
        <w:rPr>
          <w:i/>
          <w:iCs/>
        </w:rPr>
        <w:t>MiDod</w:t>
      </w:r>
      <w:proofErr w:type="spellEnd"/>
      <w:r>
        <w:rPr>
          <w:i/>
          <w:iCs/>
        </w:rPr>
        <w:t xml:space="preserve"> </w:t>
      </w:r>
      <w:r>
        <w:t xml:space="preserve"> (</w:t>
      </w:r>
      <w:proofErr w:type="gramEnd"/>
      <w:r>
        <w:t xml:space="preserve">Eulogy for his uncle </w:t>
      </w:r>
      <w:proofErr w:type="spellStart"/>
      <w:r>
        <w:t>Reb</w:t>
      </w:r>
      <w:proofErr w:type="spellEnd"/>
      <w:r>
        <w:t xml:space="preserve"> </w:t>
      </w:r>
      <w:proofErr w:type="spellStart"/>
      <w:r>
        <w:t>Velvel</w:t>
      </w:r>
      <w:proofErr w:type="spellEnd"/>
      <w:r>
        <w:t xml:space="preserve"> (</w:t>
      </w:r>
      <w:proofErr w:type="spellStart"/>
      <w:r>
        <w:t>HaGriz</w:t>
      </w:r>
      <w:proofErr w:type="spellEnd"/>
      <w:r>
        <w:t>))</w:t>
      </w:r>
    </w:p>
    <w:p w:rsidR="007D237B" w:rsidRDefault="007D237B" w:rsidP="007D237B"/>
    <w:p w:rsidR="007D237B" w:rsidRPr="007D237B" w:rsidRDefault="007D237B" w:rsidP="007D237B">
      <w:pPr>
        <w:ind w:left="720" w:right="720"/>
        <w:jc w:val="both"/>
        <w:rPr>
          <w:rFonts w:ascii="Garamond" w:hAnsi="Garamond"/>
        </w:rPr>
      </w:pPr>
      <w:r w:rsidRPr="007D237B">
        <w:rPr>
          <w:rFonts w:ascii="Garamond" w:hAnsi="Garamond"/>
        </w:rPr>
        <w:t xml:space="preserve">Torah scholars used to denigrate those who studied the laws of </w:t>
      </w:r>
      <w:proofErr w:type="spellStart"/>
      <w:r w:rsidRPr="007D237B">
        <w:rPr>
          <w:rFonts w:ascii="Garamond" w:hAnsi="Garamond"/>
        </w:rPr>
        <w:t>kashrut</w:t>
      </w:r>
      <w:proofErr w:type="spellEnd"/>
      <w:r w:rsidRPr="007D237B">
        <w:rPr>
          <w:rFonts w:ascii="Garamond" w:hAnsi="Garamond"/>
        </w:rPr>
        <w:t xml:space="preserve">: only those who were about to enter the rabbinate would study this area of the law.  Who could guess the day would come [with the development of the </w:t>
      </w:r>
      <w:r w:rsidRPr="007D237B">
        <w:rPr>
          <w:rFonts w:ascii="Garamond" w:hAnsi="Garamond"/>
          <w:i/>
          <w:iCs/>
        </w:rPr>
        <w:t>Brisker</w:t>
      </w:r>
      <w:r w:rsidRPr="007D237B">
        <w:rPr>
          <w:rFonts w:ascii="Garamond" w:hAnsi="Garamond"/>
        </w:rPr>
        <w:t xml:space="preserve"> approach] and these laws would be freed from the bonds of </w:t>
      </w:r>
      <w:proofErr w:type="spellStart"/>
      <w:r w:rsidRPr="007D237B">
        <w:rPr>
          <w:rFonts w:ascii="Garamond" w:hAnsi="Garamond"/>
        </w:rPr>
        <w:t>facticity</w:t>
      </w:r>
      <w:proofErr w:type="spellEnd"/>
      <w:r w:rsidRPr="007D237B">
        <w:rPr>
          <w:rFonts w:ascii="Garamond" w:hAnsi="Garamond"/>
        </w:rPr>
        <w:t xml:space="preserve">, external and common sense explanations, and become transformed into abstract </w:t>
      </w:r>
      <w:r w:rsidRPr="007D237B">
        <w:rPr>
          <w:rFonts w:ascii="Garamond" w:hAnsi="Garamond"/>
        </w:rPr>
        <w:lastRenderedPageBreak/>
        <w:t xml:space="preserve">concepts, logically connected idea that would link together to form a unified system. . . . Suddenly, the pots and pans, the eggs and onions disappeared from the laws of meat and milk; the salt, blood and the spit disappeared from the laws of salting.  The laws of </w:t>
      </w:r>
      <w:proofErr w:type="spellStart"/>
      <w:r w:rsidRPr="007D237B">
        <w:rPr>
          <w:rFonts w:ascii="Garamond" w:hAnsi="Garamond"/>
        </w:rPr>
        <w:t>kashrut</w:t>
      </w:r>
      <w:proofErr w:type="spellEnd"/>
      <w:r w:rsidRPr="007D237B">
        <w:rPr>
          <w:rFonts w:ascii="Garamond" w:hAnsi="Garamond"/>
        </w:rPr>
        <w:t xml:space="preserve"> were taken out of the kitchen and removed to an ideal </w:t>
      </w:r>
      <w:proofErr w:type="spellStart"/>
      <w:r w:rsidRPr="007D237B">
        <w:rPr>
          <w:rFonts w:ascii="Garamond" w:hAnsi="Garamond"/>
          <w:i/>
          <w:iCs/>
        </w:rPr>
        <w:t>halakhic</w:t>
      </w:r>
      <w:proofErr w:type="spellEnd"/>
      <w:r w:rsidRPr="007D237B">
        <w:rPr>
          <w:rFonts w:ascii="Garamond" w:hAnsi="Garamond"/>
        </w:rPr>
        <w:t xml:space="preserve"> </w:t>
      </w:r>
      <w:proofErr w:type="gramStart"/>
      <w:r w:rsidRPr="007D237B">
        <w:rPr>
          <w:rFonts w:ascii="Garamond" w:hAnsi="Garamond"/>
        </w:rPr>
        <w:t>world.</w:t>
      </w:r>
      <w:proofErr w:type="gramEnd"/>
      <w:r w:rsidRPr="007D237B">
        <w:rPr>
          <w:rFonts w:ascii="Garamond" w:hAnsi="Garamond"/>
        </w:rPr>
        <w:t xml:space="preserve"> . . constructed out of complexes of abstract concepts.</w:t>
      </w:r>
    </w:p>
    <w:p w:rsidR="007D237B" w:rsidRDefault="007D237B" w:rsidP="007D237B"/>
    <w:p w:rsidR="00871F56" w:rsidRDefault="00871F56" w:rsidP="00871F56">
      <w:r>
        <w:t>7. Characteristics of Brisker Analysis</w:t>
      </w:r>
    </w:p>
    <w:p w:rsidR="00871F56" w:rsidRDefault="00871F56" w:rsidP="00871F56"/>
    <w:p w:rsidR="00871F56" w:rsidRDefault="00871F56" w:rsidP="00871F56">
      <w:pPr>
        <w:numPr>
          <w:ilvl w:val="0"/>
          <w:numId w:val="5"/>
        </w:numPr>
      </w:pPr>
      <w:proofErr w:type="spellStart"/>
      <w:r>
        <w:t>Hakira</w:t>
      </w:r>
      <w:proofErr w:type="spellEnd"/>
      <w:r>
        <w:t xml:space="preserve">/ creation of 2 sub-categories of a </w:t>
      </w:r>
      <w:proofErr w:type="spellStart"/>
      <w:r>
        <w:t>mitzva</w:t>
      </w:r>
      <w:proofErr w:type="spellEnd"/>
    </w:p>
    <w:p w:rsidR="00871F56" w:rsidRDefault="00871F56" w:rsidP="00871F56">
      <w:pPr>
        <w:numPr>
          <w:ilvl w:val="0"/>
          <w:numId w:val="5"/>
        </w:numPr>
      </w:pPr>
      <w:r>
        <w:t>Investigation into the “essential nature” of a mitzvah</w:t>
      </w:r>
    </w:p>
    <w:p w:rsidR="00871F56" w:rsidRDefault="00871F56" w:rsidP="00871F56">
      <w:pPr>
        <w:numPr>
          <w:ilvl w:val="0"/>
          <w:numId w:val="5"/>
        </w:numPr>
      </w:pPr>
      <w:r>
        <w:t>explanation of both sides of a debate on the basis of these categories</w:t>
      </w:r>
    </w:p>
    <w:p w:rsidR="00871F56" w:rsidRDefault="00871F56" w:rsidP="00871F56">
      <w:pPr>
        <w:numPr>
          <w:ilvl w:val="0"/>
          <w:numId w:val="5"/>
        </w:numPr>
      </w:pPr>
      <w:r>
        <w:t xml:space="preserve">Proofs are used to substantiate the existence of the </w:t>
      </w:r>
      <w:proofErr w:type="spellStart"/>
      <w:r>
        <w:t>hakira</w:t>
      </w:r>
      <w:proofErr w:type="spellEnd"/>
      <w:r>
        <w:t xml:space="preserve"> not to decide not in deciding who is right.   </w:t>
      </w:r>
    </w:p>
    <w:p w:rsidR="00871F56" w:rsidRDefault="00871F56" w:rsidP="00871F56">
      <w:pPr>
        <w:numPr>
          <w:ilvl w:val="0"/>
          <w:numId w:val="5"/>
        </w:numPr>
      </w:pPr>
      <w:r>
        <w:t>Not much interest in the practical elements of the halakha.</w:t>
      </w:r>
    </w:p>
    <w:p w:rsidR="00871F56" w:rsidRDefault="00871F56" w:rsidP="00871F56">
      <w:pPr>
        <w:numPr>
          <w:ilvl w:val="0"/>
          <w:numId w:val="5"/>
        </w:numPr>
      </w:pPr>
      <w:proofErr w:type="spellStart"/>
      <w:r>
        <w:t>Thingification</w:t>
      </w:r>
      <w:proofErr w:type="spellEnd"/>
      <w:r>
        <w:t xml:space="preserve"> /</w:t>
      </w:r>
      <w:proofErr w:type="spellStart"/>
      <w:r>
        <w:t>abstracton</w:t>
      </w:r>
      <w:proofErr w:type="spellEnd"/>
      <w:r>
        <w:t xml:space="preserve">  (</w:t>
      </w:r>
      <w:proofErr w:type="spellStart"/>
      <w:r w:rsidRPr="00F247BD">
        <w:rPr>
          <w:i/>
        </w:rPr>
        <w:t>matir</w:t>
      </w:r>
      <w:proofErr w:type="spellEnd"/>
      <w:r>
        <w:t>; water, oxen)</w:t>
      </w:r>
    </w:p>
    <w:p w:rsidR="00871F56" w:rsidRDefault="00871F56" w:rsidP="00871F56">
      <w:pPr>
        <w:numPr>
          <w:ilvl w:val="0"/>
          <w:numId w:val="5"/>
        </w:numPr>
      </w:pPr>
      <w:proofErr w:type="spellStart"/>
      <w:r>
        <w:t>Halakhic</w:t>
      </w:r>
      <w:proofErr w:type="spellEnd"/>
      <w:r>
        <w:t xml:space="preserve"> events happen in real space. Digging vs. transaction </w:t>
      </w:r>
    </w:p>
    <w:p w:rsidR="00871F56" w:rsidRDefault="00871F56" w:rsidP="00871F56">
      <w:pPr>
        <w:numPr>
          <w:ilvl w:val="0"/>
          <w:numId w:val="5"/>
        </w:numPr>
      </w:pPr>
      <w:r>
        <w:t xml:space="preserve">Essentialism. </w:t>
      </w:r>
      <w:proofErr w:type="spellStart"/>
      <w:r>
        <w:t>Halakhic</w:t>
      </w:r>
      <w:proofErr w:type="spellEnd"/>
      <w:r>
        <w:t xml:space="preserve"> concepts have an </w:t>
      </w:r>
      <w:proofErr w:type="spellStart"/>
      <w:r>
        <w:t>ontologic</w:t>
      </w:r>
      <w:proofErr w:type="spellEnd"/>
      <w:r>
        <w:t xml:space="preserve"> reality. “</w:t>
      </w:r>
      <w:proofErr w:type="spellStart"/>
      <w:r>
        <w:t>heftza</w:t>
      </w:r>
      <w:proofErr w:type="spellEnd"/>
      <w:r>
        <w:t>”</w:t>
      </w:r>
    </w:p>
    <w:p w:rsidR="00871F56" w:rsidRDefault="00871F56" w:rsidP="00871F56">
      <w:pPr>
        <w:numPr>
          <w:ilvl w:val="0"/>
          <w:numId w:val="5"/>
        </w:numPr>
      </w:pPr>
      <w:r>
        <w:t xml:space="preserve">Concepts take primacy over </w:t>
      </w:r>
      <w:proofErr w:type="spellStart"/>
      <w:r>
        <w:t>halakhic</w:t>
      </w:r>
      <w:proofErr w:type="spellEnd"/>
      <w:r>
        <w:t xml:space="preserve"> texts </w:t>
      </w:r>
      <w:r w:rsidR="0015553F">
        <w:t xml:space="preserve">– text is </w:t>
      </w:r>
      <w:r w:rsidR="0015553F" w:rsidRPr="0015553F">
        <w:rPr>
          <w:i/>
        </w:rPr>
        <w:t xml:space="preserve">evidence </w:t>
      </w:r>
      <w:r w:rsidR="0015553F">
        <w:t>of halakha</w:t>
      </w:r>
    </w:p>
    <w:p w:rsidR="00871F56" w:rsidRDefault="00871F56" w:rsidP="00871F56">
      <w:pPr>
        <w:ind w:left="720"/>
      </w:pPr>
    </w:p>
    <w:p w:rsidR="00871F56" w:rsidRDefault="00871F56" w:rsidP="00871F56">
      <w:pPr>
        <w:numPr>
          <w:ilvl w:val="0"/>
          <w:numId w:val="5"/>
        </w:numPr>
      </w:pPr>
      <w:r>
        <w:t>Relative neglect of works of 16-18</w:t>
      </w:r>
      <w:r w:rsidRPr="00BD14A8">
        <w:rPr>
          <w:vertAlign w:val="superscript"/>
        </w:rPr>
        <w:t>th</w:t>
      </w:r>
      <w:r>
        <w:t xml:space="preserve"> century </w:t>
      </w:r>
      <w:proofErr w:type="spellStart"/>
      <w:r w:rsidRPr="00BD14A8">
        <w:rPr>
          <w:i/>
        </w:rPr>
        <w:t>Achronim</w:t>
      </w:r>
      <w:proofErr w:type="spellEnd"/>
      <w:r>
        <w:t xml:space="preserve">. </w:t>
      </w:r>
    </w:p>
    <w:p w:rsidR="00871F56" w:rsidRDefault="00871F56" w:rsidP="00871F56">
      <w:pPr>
        <w:numPr>
          <w:ilvl w:val="0"/>
          <w:numId w:val="5"/>
        </w:numPr>
      </w:pPr>
      <w:r>
        <w:t xml:space="preserve">Shift from “on the </w:t>
      </w:r>
      <w:proofErr w:type="spellStart"/>
      <w:r>
        <w:t>daf</w:t>
      </w:r>
      <w:proofErr w:type="spellEnd"/>
      <w:r>
        <w:t>” to more conceptual discussions.</w:t>
      </w:r>
    </w:p>
    <w:p w:rsidR="00871F56" w:rsidRDefault="00871F56" w:rsidP="00871F56">
      <w:pPr>
        <w:numPr>
          <w:ilvl w:val="0"/>
          <w:numId w:val="5"/>
        </w:numPr>
      </w:pPr>
      <w:r>
        <w:t>No attempt to collect all the existing opinions and reconcile them with the authoritative texts.</w:t>
      </w:r>
    </w:p>
    <w:p w:rsidR="00871F56" w:rsidRDefault="00871F56" w:rsidP="00871F56">
      <w:pPr>
        <w:numPr>
          <w:ilvl w:val="0"/>
          <w:numId w:val="5"/>
        </w:numPr>
      </w:pPr>
      <w:r>
        <w:t>Unique mode of expression, synthetic terminology</w:t>
      </w:r>
    </w:p>
    <w:p w:rsidR="00871F56" w:rsidRDefault="00871F56" w:rsidP="00871F56"/>
    <w:p w:rsidR="00871F56" w:rsidRDefault="00871F56" w:rsidP="00871F56">
      <w:proofErr w:type="gramStart"/>
      <w:r>
        <w:t>Advantages-Attraction of Brisker method.</w:t>
      </w:r>
      <w:proofErr w:type="gramEnd"/>
      <w:r>
        <w:t xml:space="preserve"> (</w:t>
      </w:r>
      <w:proofErr w:type="gramStart"/>
      <w:r>
        <w:t>internal</w:t>
      </w:r>
      <w:proofErr w:type="gramEnd"/>
      <w:r>
        <w:t xml:space="preserve">) </w:t>
      </w:r>
    </w:p>
    <w:p w:rsidR="00871F56" w:rsidRDefault="00871F56" w:rsidP="00871F56"/>
    <w:p w:rsidR="00871F56" w:rsidRDefault="00871F56" w:rsidP="00871F56">
      <w:pPr>
        <w:numPr>
          <w:ilvl w:val="0"/>
          <w:numId w:val="6"/>
        </w:numPr>
      </w:pPr>
      <w:r>
        <w:t xml:space="preserve">Make sense of numerous </w:t>
      </w:r>
      <w:proofErr w:type="spellStart"/>
      <w:r>
        <w:t>machloket</w:t>
      </w:r>
      <w:proofErr w:type="spellEnd"/>
      <w:r>
        <w:t xml:space="preserve"> in rabbinic canon. Each position given a respectable accounting from both text and reason. </w:t>
      </w:r>
    </w:p>
    <w:p w:rsidR="00871F56" w:rsidRDefault="00871F56" w:rsidP="00871F56">
      <w:pPr>
        <w:numPr>
          <w:ilvl w:val="0"/>
          <w:numId w:val="6"/>
        </w:numPr>
      </w:pPr>
      <w:r>
        <w:t xml:space="preserve">Give meaning to </w:t>
      </w:r>
      <w:proofErr w:type="spellStart"/>
      <w:r>
        <w:t>halakhic</w:t>
      </w:r>
      <w:proofErr w:type="spellEnd"/>
      <w:r>
        <w:t xml:space="preserve"> minutia.  No longer little debates about the finer points of law that hasn’t been applies for 1500 years, but queries into the essential foundations of </w:t>
      </w:r>
      <w:proofErr w:type="spellStart"/>
      <w:r>
        <w:t>halakhic</w:t>
      </w:r>
      <w:proofErr w:type="spellEnd"/>
      <w:r>
        <w:t xml:space="preserve"> (and thus God’s) thought. </w:t>
      </w:r>
    </w:p>
    <w:p w:rsidR="00871F56" w:rsidRDefault="00871F56" w:rsidP="00871F56">
      <w:pPr>
        <w:numPr>
          <w:ilvl w:val="0"/>
          <w:numId w:val="6"/>
        </w:numPr>
      </w:pPr>
      <w:r>
        <w:t xml:space="preserve">Give meaning to words, and laws that are no longer part of </w:t>
      </w:r>
      <w:proofErr w:type="spellStart"/>
      <w:r>
        <w:t>halakhic</w:t>
      </w:r>
      <w:proofErr w:type="spellEnd"/>
      <w:r>
        <w:t xml:space="preserve"> practice. (</w:t>
      </w:r>
      <w:proofErr w:type="gramStart"/>
      <w:r>
        <w:t>oxen</w:t>
      </w:r>
      <w:proofErr w:type="gramEnd"/>
      <w:r>
        <w:t xml:space="preserve">, temple, </w:t>
      </w:r>
      <w:proofErr w:type="spellStart"/>
      <w:r>
        <w:t>Kohanic</w:t>
      </w:r>
      <w:proofErr w:type="spellEnd"/>
      <w:r>
        <w:t xml:space="preserve"> clothes, </w:t>
      </w:r>
      <w:proofErr w:type="spellStart"/>
      <w:r>
        <w:t>tumah</w:t>
      </w:r>
      <w:proofErr w:type="spellEnd"/>
      <w:r>
        <w:t xml:space="preserve"> and </w:t>
      </w:r>
      <w:proofErr w:type="spellStart"/>
      <w:r>
        <w:t>tahara</w:t>
      </w:r>
      <w:proofErr w:type="spellEnd"/>
      <w:r>
        <w:t xml:space="preserve">.). Shows eternal elements of God’s law </w:t>
      </w:r>
    </w:p>
    <w:p w:rsidR="00871F56" w:rsidRDefault="00871F56" w:rsidP="00871F56">
      <w:pPr>
        <w:numPr>
          <w:ilvl w:val="0"/>
          <w:numId w:val="6"/>
        </w:numPr>
      </w:pPr>
      <w:r>
        <w:t xml:space="preserve">Method is novel, but a great number of Talmudic sources display a more primitive version of this mode. Many Talmudic passages cry out for a brisker-styled analysis. </w:t>
      </w:r>
    </w:p>
    <w:p w:rsidR="00871F56" w:rsidRDefault="00871F56" w:rsidP="00871F56">
      <w:pPr>
        <w:numPr>
          <w:ilvl w:val="0"/>
          <w:numId w:val="6"/>
        </w:numPr>
      </w:pPr>
      <w:r>
        <w:t xml:space="preserve">Conceptual investigation seen as more sophisticated than </w:t>
      </w:r>
      <w:proofErr w:type="spellStart"/>
      <w:r w:rsidRPr="00D94FC3">
        <w:rPr>
          <w:i/>
          <w:iCs/>
        </w:rPr>
        <w:t>pilpul</w:t>
      </w:r>
      <w:proofErr w:type="spellEnd"/>
      <w:r>
        <w:t xml:space="preserve"> or simply plowing through texts </w:t>
      </w:r>
    </w:p>
    <w:p w:rsidR="00871F56" w:rsidRDefault="00871F56" w:rsidP="00871F56">
      <w:pPr>
        <w:numPr>
          <w:ilvl w:val="0"/>
          <w:numId w:val="6"/>
        </w:numPr>
      </w:pPr>
      <w:r>
        <w:t xml:space="preserve">Understanding of Talmud does not require data about </w:t>
      </w:r>
      <w:proofErr w:type="gramStart"/>
      <w:r>
        <w:t>Rabbinic</w:t>
      </w:r>
      <w:proofErr w:type="gramEnd"/>
      <w:r>
        <w:t xml:space="preserve"> times or current conditions. </w:t>
      </w:r>
    </w:p>
    <w:p w:rsidR="00871F56" w:rsidRDefault="00871F56" w:rsidP="00E95654"/>
    <w:p w:rsidR="007D237B" w:rsidRDefault="007D237B" w:rsidP="007D237B"/>
    <w:p w:rsidR="007D237B" w:rsidRPr="001D2EF0" w:rsidRDefault="007D237B" w:rsidP="007D237B">
      <w:pPr>
        <w:jc w:val="center"/>
        <w:rPr>
          <w:b/>
          <w:bCs/>
        </w:rPr>
      </w:pPr>
      <w:r w:rsidRPr="001D2EF0">
        <w:rPr>
          <w:b/>
          <w:bCs/>
        </w:rPr>
        <w:lastRenderedPageBreak/>
        <w:t xml:space="preserve">III. The </w:t>
      </w:r>
      <w:r w:rsidR="00352BA0">
        <w:rPr>
          <w:b/>
          <w:bCs/>
        </w:rPr>
        <w:t xml:space="preserve">Varieties of the </w:t>
      </w:r>
      <w:r w:rsidRPr="001D2EF0">
        <w:rPr>
          <w:b/>
          <w:bCs/>
        </w:rPr>
        <w:t xml:space="preserve">Brisker </w:t>
      </w:r>
      <w:r w:rsidR="00352BA0">
        <w:rPr>
          <w:b/>
          <w:bCs/>
        </w:rPr>
        <w:t xml:space="preserve">Experience </w:t>
      </w:r>
    </w:p>
    <w:p w:rsidR="007D237B" w:rsidRDefault="007D237B" w:rsidP="007D237B"/>
    <w:p w:rsidR="007D237B" w:rsidRDefault="007D237B" w:rsidP="00EA3753">
      <w:r>
        <w:t xml:space="preserve">1. </w:t>
      </w:r>
      <w:r w:rsidR="00352BA0">
        <w:t xml:space="preserve">Scope of the </w:t>
      </w:r>
      <w:proofErr w:type="spellStart"/>
      <w:r w:rsidR="00352BA0">
        <w:t>hakira</w:t>
      </w:r>
      <w:proofErr w:type="spellEnd"/>
      <w:r>
        <w:t>.</w:t>
      </w:r>
    </w:p>
    <w:p w:rsidR="007D237B" w:rsidRDefault="007D237B" w:rsidP="007D237B"/>
    <w:p w:rsidR="007D237B" w:rsidRDefault="0036533A" w:rsidP="007D237B">
      <w:r>
        <w:t xml:space="preserve">Classical </w:t>
      </w:r>
      <w:proofErr w:type="spellStart"/>
      <w:r>
        <w:t>h</w:t>
      </w:r>
      <w:r w:rsidR="007D237B">
        <w:t>akirot</w:t>
      </w:r>
      <w:proofErr w:type="spellEnd"/>
      <w:r w:rsidR="007D237B">
        <w:t xml:space="preserve"> do not probe issues relating to:</w:t>
      </w:r>
    </w:p>
    <w:p w:rsidR="007D237B" w:rsidRDefault="007D237B" w:rsidP="007D237B">
      <w:pPr>
        <w:numPr>
          <w:ilvl w:val="0"/>
          <w:numId w:val="3"/>
        </w:numPr>
      </w:pPr>
      <w:r>
        <w:t xml:space="preserve">Philosophy </w:t>
      </w:r>
    </w:p>
    <w:p w:rsidR="007D237B" w:rsidRDefault="007D237B" w:rsidP="007D237B">
      <w:pPr>
        <w:numPr>
          <w:ilvl w:val="0"/>
          <w:numId w:val="3"/>
        </w:numPr>
      </w:pPr>
      <w:r>
        <w:t>Theology/ spirituality</w:t>
      </w:r>
    </w:p>
    <w:p w:rsidR="007D237B" w:rsidRDefault="007D237B" w:rsidP="007D237B">
      <w:pPr>
        <w:numPr>
          <w:ilvl w:val="0"/>
          <w:numId w:val="3"/>
        </w:numPr>
      </w:pPr>
      <w:r>
        <w:t>Morality</w:t>
      </w:r>
    </w:p>
    <w:p w:rsidR="007D237B" w:rsidRDefault="007D237B" w:rsidP="007D237B">
      <w:pPr>
        <w:numPr>
          <w:ilvl w:val="0"/>
          <w:numId w:val="3"/>
        </w:numPr>
      </w:pPr>
      <w:r>
        <w:t>Practicality</w:t>
      </w:r>
    </w:p>
    <w:p w:rsidR="007D237B" w:rsidRDefault="007D237B" w:rsidP="007D237B">
      <w:pPr>
        <w:numPr>
          <w:ilvl w:val="0"/>
          <w:numId w:val="3"/>
        </w:numPr>
      </w:pPr>
      <w:r>
        <w:t>History and development</w:t>
      </w:r>
    </w:p>
    <w:p w:rsidR="007D237B" w:rsidRDefault="007D237B" w:rsidP="00DE706B">
      <w:pPr>
        <w:contextualSpacing/>
      </w:pPr>
    </w:p>
    <w:p w:rsidR="00622A28" w:rsidRDefault="00622A28" w:rsidP="00DE706B">
      <w:pPr>
        <w:pStyle w:val="ListParagraph"/>
        <w:numPr>
          <w:ilvl w:val="0"/>
          <w:numId w:val="2"/>
        </w:numPr>
      </w:pPr>
      <w:r>
        <w:t xml:space="preserve">What does “conceptual” mean: </w:t>
      </w:r>
    </w:p>
    <w:p w:rsidR="0036533A" w:rsidRDefault="0036533A" w:rsidP="00DE706B">
      <w:pPr>
        <w:pStyle w:val="ListParagraph"/>
      </w:pPr>
    </w:p>
    <w:p w:rsidR="0036533A" w:rsidRDefault="00622A28" w:rsidP="00E95654">
      <w:pPr>
        <w:pStyle w:val="ListParagraph"/>
        <w:numPr>
          <w:ilvl w:val="0"/>
          <w:numId w:val="15"/>
        </w:numPr>
      </w:pPr>
      <w:proofErr w:type="spellStart"/>
      <w:r>
        <w:t>Grach</w:t>
      </w:r>
      <w:r w:rsidR="0036533A">
        <w:t>’s</w:t>
      </w:r>
      <w:proofErr w:type="spellEnd"/>
      <w:r w:rsidR="0036533A">
        <w:t xml:space="preserve"> </w:t>
      </w:r>
      <w:proofErr w:type="spellStart"/>
      <w:r w:rsidR="0036533A">
        <w:t>Chiddushim</w:t>
      </w:r>
      <w:proofErr w:type="spellEnd"/>
      <w:r w:rsidR="0036533A">
        <w:t xml:space="preserve"> v. 19</w:t>
      </w:r>
      <w:r w:rsidR="0036533A" w:rsidRPr="0036533A">
        <w:rPr>
          <w:vertAlign w:val="superscript"/>
        </w:rPr>
        <w:t>th</w:t>
      </w:r>
      <w:r w:rsidR="0036533A">
        <w:t xml:space="preserve"> c Codes </w:t>
      </w:r>
    </w:p>
    <w:p w:rsidR="00622A28" w:rsidRDefault="00622A28" w:rsidP="00E95654">
      <w:pPr>
        <w:pStyle w:val="ListParagraph"/>
        <w:numPr>
          <w:ilvl w:val="0"/>
          <w:numId w:val="15"/>
        </w:numPr>
      </w:pPr>
      <w:r>
        <w:t xml:space="preserve">R. Shimon </w:t>
      </w:r>
      <w:proofErr w:type="spellStart"/>
      <w:r>
        <w:t>Shkopf</w:t>
      </w:r>
      <w:r w:rsidR="0036533A">
        <w:t>—doresh</w:t>
      </w:r>
      <w:proofErr w:type="spellEnd"/>
      <w:r w:rsidR="0036533A">
        <w:t xml:space="preserve"> </w:t>
      </w:r>
      <w:proofErr w:type="spellStart"/>
      <w:r w:rsidR="0036533A">
        <w:t>ta’ama</w:t>
      </w:r>
      <w:proofErr w:type="spellEnd"/>
      <w:r w:rsidR="0036533A">
        <w:t xml:space="preserve"> </w:t>
      </w:r>
      <w:proofErr w:type="spellStart"/>
      <w:r w:rsidR="0036533A">
        <w:t>de’kra</w:t>
      </w:r>
      <w:proofErr w:type="spellEnd"/>
      <w:r w:rsidR="0036533A">
        <w:t>?</w:t>
      </w:r>
    </w:p>
    <w:p w:rsidR="00622A28" w:rsidRDefault="00622A28" w:rsidP="00DE706B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r w:rsidRPr="00622A28">
        <w:rPr>
          <w:i/>
        </w:rPr>
        <w:t>Rav</w:t>
      </w:r>
      <w:proofErr w:type="spellEnd"/>
      <w:r w:rsidRPr="00622A28">
        <w:rPr>
          <w:i/>
        </w:rPr>
        <w:t xml:space="preserve"> </w:t>
      </w:r>
      <w:r w:rsidR="0036533A">
        <w:rPr>
          <w:i/>
        </w:rPr>
        <w:t>–</w:t>
      </w:r>
      <w:r w:rsidR="0036533A" w:rsidRPr="0036533A">
        <w:t xml:space="preserve">spiritual meaning of </w:t>
      </w:r>
      <w:proofErr w:type="spellStart"/>
      <w:r w:rsidR="0036533A" w:rsidRPr="0036533A">
        <w:t>halakhic</w:t>
      </w:r>
      <w:proofErr w:type="spellEnd"/>
      <w:r w:rsidR="0036533A" w:rsidRPr="0036533A">
        <w:t xml:space="preserve"> categories</w:t>
      </w:r>
    </w:p>
    <w:p w:rsidR="00622A28" w:rsidRDefault="00622A28" w:rsidP="00DE706B">
      <w:pPr>
        <w:contextualSpacing/>
      </w:pPr>
    </w:p>
    <w:p w:rsidR="00352BA0" w:rsidRDefault="00352BA0" w:rsidP="00DE706B">
      <w:pPr>
        <w:pStyle w:val="ListParagraph"/>
        <w:numPr>
          <w:ilvl w:val="0"/>
          <w:numId w:val="2"/>
        </w:numPr>
      </w:pPr>
      <w:proofErr w:type="spellStart"/>
      <w:r>
        <w:t>Haredi</w:t>
      </w:r>
      <w:proofErr w:type="spellEnd"/>
      <w:r>
        <w:t xml:space="preserve">  Brisk v. </w:t>
      </w:r>
      <w:proofErr w:type="spellStart"/>
      <w:r>
        <w:t>MoDox</w:t>
      </w:r>
      <w:proofErr w:type="spellEnd"/>
      <w:r>
        <w:t xml:space="preserve"> Brisk</w:t>
      </w:r>
    </w:p>
    <w:p w:rsidR="00352BA0" w:rsidRDefault="00352BA0" w:rsidP="00DE706B">
      <w:pPr>
        <w:contextualSpacing/>
      </w:pPr>
    </w:p>
    <w:p w:rsidR="00352BA0" w:rsidRDefault="00622A28" w:rsidP="00E95654">
      <w:pPr>
        <w:pStyle w:val="ListParagraph"/>
        <w:numPr>
          <w:ilvl w:val="0"/>
          <w:numId w:val="12"/>
        </w:numPr>
      </w:pPr>
      <w:proofErr w:type="spellStart"/>
      <w:r w:rsidRPr="003838B2">
        <w:t>Matanot</w:t>
      </w:r>
      <w:proofErr w:type="spellEnd"/>
      <w:r w:rsidRPr="003838B2">
        <w:t xml:space="preserve"> </w:t>
      </w:r>
      <w:proofErr w:type="spellStart"/>
      <w:r w:rsidRPr="003838B2">
        <w:t>la’evyonim</w:t>
      </w:r>
      <w:proofErr w:type="spellEnd"/>
      <w:r w:rsidRPr="003838B2">
        <w:t xml:space="preserve"> and </w:t>
      </w:r>
      <w:proofErr w:type="spellStart"/>
      <w:r w:rsidR="003838B2">
        <w:t>t</w:t>
      </w:r>
      <w:r w:rsidRPr="003838B2">
        <w:t>zedaka</w:t>
      </w:r>
      <w:proofErr w:type="spellEnd"/>
      <w:r w:rsidRPr="003838B2">
        <w:t xml:space="preserve"> </w:t>
      </w:r>
    </w:p>
    <w:p w:rsidR="00622A28" w:rsidRDefault="00622A28" w:rsidP="00E95654">
      <w:pPr>
        <w:pStyle w:val="ListParagraph"/>
        <w:numPr>
          <w:ilvl w:val="0"/>
          <w:numId w:val="12"/>
        </w:numPr>
      </w:pPr>
      <w:r>
        <w:t xml:space="preserve"> </w:t>
      </w:r>
      <w:proofErr w:type="spellStart"/>
      <w:r>
        <w:t>Kibbud</w:t>
      </w:r>
      <w:proofErr w:type="spellEnd"/>
      <w:r>
        <w:t xml:space="preserve"> </w:t>
      </w:r>
      <w:proofErr w:type="spellStart"/>
      <w:r w:rsidR="003838B2">
        <w:t>a</w:t>
      </w:r>
      <w:r>
        <w:t>v</w:t>
      </w:r>
      <w:proofErr w:type="spellEnd"/>
      <w:r>
        <w:t xml:space="preserve"> </w:t>
      </w:r>
      <w:proofErr w:type="spellStart"/>
      <w:r>
        <w:t>v</w:t>
      </w:r>
      <w:r w:rsidR="003838B2">
        <w:t>a</w:t>
      </w:r>
      <w:r>
        <w:t>’Em</w:t>
      </w:r>
      <w:proofErr w:type="spellEnd"/>
      <w:r>
        <w:t xml:space="preserve"> </w:t>
      </w:r>
      <w:r w:rsidRPr="00622A28">
        <w:rPr>
          <w:i/>
        </w:rPr>
        <w:t xml:space="preserve">: </w:t>
      </w:r>
      <w:proofErr w:type="spellStart"/>
      <w:r w:rsidRPr="003838B2">
        <w:t>kavod</w:t>
      </w:r>
      <w:proofErr w:type="spellEnd"/>
      <w:r w:rsidRPr="003838B2">
        <w:t xml:space="preserve"> </w:t>
      </w:r>
      <w:r w:rsidR="003838B2" w:rsidRPr="003838B2">
        <w:t xml:space="preserve">v. </w:t>
      </w:r>
      <w:proofErr w:type="spellStart"/>
      <w:r w:rsidRPr="003838B2">
        <w:t>yira’h</w:t>
      </w:r>
      <w:proofErr w:type="spellEnd"/>
      <w:r>
        <w:t xml:space="preserve"> </w:t>
      </w:r>
    </w:p>
    <w:p w:rsidR="0036533A" w:rsidRDefault="0036533A" w:rsidP="0036533A">
      <w:pPr>
        <w:pStyle w:val="ListParagraph"/>
      </w:pPr>
    </w:p>
    <w:p w:rsidR="00622A28" w:rsidRDefault="00622A28" w:rsidP="00622A28">
      <w:pPr>
        <w:pStyle w:val="ListParagraph"/>
        <w:numPr>
          <w:ilvl w:val="0"/>
          <w:numId w:val="2"/>
        </w:numPr>
      </w:pPr>
      <w:r>
        <w:t xml:space="preserve">The Debate within </w:t>
      </w:r>
      <w:proofErr w:type="spellStart"/>
      <w:r>
        <w:t>Modoxy</w:t>
      </w:r>
      <w:proofErr w:type="spellEnd"/>
      <w:r>
        <w:t>:</w:t>
      </w:r>
      <w:r w:rsidR="003838B2">
        <w:t xml:space="preserve"> </w:t>
      </w:r>
      <w:proofErr w:type="spellStart"/>
      <w:r w:rsidR="003838B2">
        <w:t>hakirot</w:t>
      </w:r>
      <w:proofErr w:type="spellEnd"/>
      <w:r w:rsidR="003838B2">
        <w:t xml:space="preserve"> and value tradeoffs</w:t>
      </w:r>
      <w:r>
        <w:t>.</w:t>
      </w:r>
    </w:p>
    <w:p w:rsidR="00622A28" w:rsidRDefault="00622A28" w:rsidP="00622A28"/>
    <w:p w:rsidR="00622A28" w:rsidRPr="00622A28" w:rsidRDefault="00622A28" w:rsidP="00622A28">
      <w:pPr>
        <w:pStyle w:val="ListParagraph"/>
        <w:numPr>
          <w:ilvl w:val="0"/>
          <w:numId w:val="13"/>
        </w:numPr>
      </w:pPr>
      <w:r w:rsidRPr="00622A28">
        <w:t xml:space="preserve">R. Joseph B. </w:t>
      </w:r>
      <w:proofErr w:type="spellStart"/>
      <w:r w:rsidRPr="00622A28">
        <w:t>Soloveitchik</w:t>
      </w:r>
      <w:proofErr w:type="spellEnd"/>
      <w:r w:rsidRPr="00622A28">
        <w:t xml:space="preserve">, </w:t>
      </w:r>
      <w:r w:rsidRPr="00622A28">
        <w:rPr>
          <w:i/>
          <w:iCs/>
        </w:rPr>
        <w:t xml:space="preserve">Ma </w:t>
      </w:r>
      <w:proofErr w:type="spellStart"/>
      <w:r w:rsidRPr="00622A28">
        <w:rPr>
          <w:i/>
          <w:iCs/>
        </w:rPr>
        <w:t>Dodekh</w:t>
      </w:r>
      <w:proofErr w:type="spellEnd"/>
      <w:r w:rsidRPr="00622A28">
        <w:rPr>
          <w:i/>
          <w:iCs/>
        </w:rPr>
        <w:t xml:space="preserve"> </w:t>
      </w:r>
      <w:proofErr w:type="spellStart"/>
      <w:r w:rsidRPr="00622A28">
        <w:rPr>
          <w:i/>
          <w:iCs/>
        </w:rPr>
        <w:t>MiDod</w:t>
      </w:r>
      <w:proofErr w:type="spellEnd"/>
    </w:p>
    <w:p w:rsidR="00622A28" w:rsidRPr="00622A28" w:rsidRDefault="00622A28" w:rsidP="00622A28"/>
    <w:p w:rsidR="00622A28" w:rsidRPr="007D237B" w:rsidRDefault="00622A28" w:rsidP="00622A28">
      <w:pPr>
        <w:ind w:left="1440" w:right="720"/>
        <w:rPr>
          <w:rFonts w:ascii="Garamond" w:hAnsi="Garamond"/>
          <w:iCs/>
        </w:rPr>
      </w:pPr>
      <w:proofErr w:type="spellStart"/>
      <w:r w:rsidRPr="00622A28">
        <w:rPr>
          <w:rFonts w:ascii="Garamond" w:hAnsi="Garamond"/>
          <w:iCs/>
        </w:rPr>
        <w:t>Reb</w:t>
      </w:r>
      <w:proofErr w:type="spellEnd"/>
      <w:r w:rsidRPr="00622A28">
        <w:rPr>
          <w:rFonts w:ascii="Garamond" w:hAnsi="Garamond"/>
          <w:iCs/>
        </w:rPr>
        <w:t xml:space="preserve"> </w:t>
      </w:r>
      <w:proofErr w:type="spellStart"/>
      <w:r w:rsidRPr="00622A28">
        <w:rPr>
          <w:rFonts w:ascii="Garamond" w:hAnsi="Garamond"/>
          <w:iCs/>
        </w:rPr>
        <w:t>Hayyim</w:t>
      </w:r>
      <w:proofErr w:type="spellEnd"/>
      <w:r w:rsidRPr="00622A28">
        <w:rPr>
          <w:rFonts w:ascii="Garamond" w:hAnsi="Garamond"/>
          <w:iCs/>
        </w:rPr>
        <w:t xml:space="preserve"> purified </w:t>
      </w:r>
      <w:proofErr w:type="spellStart"/>
      <w:r w:rsidRPr="00622A28">
        <w:rPr>
          <w:rFonts w:ascii="Garamond" w:hAnsi="Garamond"/>
          <w:i/>
        </w:rPr>
        <w:t>halakha</w:t>
      </w:r>
      <w:proofErr w:type="spellEnd"/>
      <w:r w:rsidRPr="00622A28">
        <w:rPr>
          <w:rFonts w:ascii="Garamond" w:hAnsi="Garamond"/>
          <w:iCs/>
        </w:rPr>
        <w:t xml:space="preserve"> from all exogenous influences.  Based on his approach, one rejects the </w:t>
      </w:r>
      <w:proofErr w:type="spellStart"/>
      <w:r w:rsidRPr="00622A28">
        <w:rPr>
          <w:rFonts w:ascii="Garamond" w:hAnsi="Garamond"/>
          <w:iCs/>
        </w:rPr>
        <w:t>psycholization</w:t>
      </w:r>
      <w:proofErr w:type="spellEnd"/>
      <w:r w:rsidRPr="00622A28">
        <w:rPr>
          <w:rFonts w:ascii="Garamond" w:hAnsi="Garamond"/>
          <w:iCs/>
        </w:rPr>
        <w:t xml:space="preserve"> or </w:t>
      </w:r>
      <w:proofErr w:type="spellStart"/>
      <w:r w:rsidRPr="00622A28">
        <w:rPr>
          <w:rFonts w:ascii="Garamond" w:hAnsi="Garamond"/>
          <w:iCs/>
        </w:rPr>
        <w:t>historicization</w:t>
      </w:r>
      <w:proofErr w:type="spellEnd"/>
      <w:r w:rsidRPr="00622A28">
        <w:rPr>
          <w:rFonts w:ascii="Garamond" w:hAnsi="Garamond"/>
          <w:iCs/>
        </w:rPr>
        <w:t xml:space="preserve"> of </w:t>
      </w:r>
      <w:proofErr w:type="gramStart"/>
      <w:r w:rsidRPr="00622A28">
        <w:rPr>
          <w:rFonts w:ascii="Garamond" w:hAnsi="Garamond"/>
          <w:iCs/>
        </w:rPr>
        <w:t>halakha. . . .</w:t>
      </w:r>
      <w:proofErr w:type="gramEnd"/>
      <w:r w:rsidRPr="00622A28">
        <w:rPr>
          <w:rFonts w:ascii="Garamond" w:hAnsi="Garamond"/>
          <w:iCs/>
        </w:rPr>
        <w:t xml:space="preserve">  </w:t>
      </w:r>
      <w:proofErr w:type="spellStart"/>
      <w:r w:rsidRPr="00622A28">
        <w:rPr>
          <w:rFonts w:ascii="Garamond" w:hAnsi="Garamond"/>
          <w:i/>
        </w:rPr>
        <w:t>Halakhic</w:t>
      </w:r>
      <w:proofErr w:type="spellEnd"/>
      <w:r w:rsidRPr="00622A28">
        <w:rPr>
          <w:rFonts w:ascii="Garamond" w:hAnsi="Garamond"/>
          <w:iCs/>
        </w:rPr>
        <w:t xml:space="preserve"> thinking follows a path of its own.  Its rules and principles are not psychological-factual but ideal-normative, as is logical-mathematical thinking.   The historical and factual context does not impinge on truth or correctness of </w:t>
      </w:r>
      <w:proofErr w:type="spellStart"/>
      <w:r w:rsidRPr="00622A28">
        <w:rPr>
          <w:rFonts w:ascii="Garamond" w:hAnsi="Garamond"/>
          <w:iCs/>
        </w:rPr>
        <w:t>halakhic</w:t>
      </w:r>
      <w:proofErr w:type="spellEnd"/>
      <w:r w:rsidRPr="00622A28">
        <w:rPr>
          <w:rFonts w:ascii="Garamond" w:hAnsi="Garamond"/>
          <w:iCs/>
        </w:rPr>
        <w:t xml:space="preserve"> judgments. . . . </w:t>
      </w:r>
      <w:proofErr w:type="gramStart"/>
      <w:r w:rsidRPr="00622A28">
        <w:rPr>
          <w:rFonts w:ascii="Garamond" w:hAnsi="Garamond"/>
          <w:iCs/>
        </w:rPr>
        <w:t>Just as the validity of mathematical thought is not assessed through psychological analysis.</w:t>
      </w:r>
      <w:proofErr w:type="gramEnd"/>
    </w:p>
    <w:p w:rsidR="00622A28" w:rsidRDefault="00622A28" w:rsidP="00622A28"/>
    <w:p w:rsidR="007564B2" w:rsidRPr="00E95654" w:rsidRDefault="007564B2" w:rsidP="00E95654">
      <w:pPr>
        <w:pStyle w:val="ListParagraph"/>
        <w:numPr>
          <w:ilvl w:val="0"/>
          <w:numId w:val="13"/>
        </w:numPr>
        <w:rPr>
          <w:i/>
        </w:rPr>
      </w:pPr>
      <w:r>
        <w:t xml:space="preserve">Mortgage Buybacks – </w:t>
      </w:r>
      <w:proofErr w:type="spellStart"/>
      <w:r w:rsidRPr="007564B2">
        <w:rPr>
          <w:i/>
        </w:rPr>
        <w:t>shuma</w:t>
      </w:r>
      <w:proofErr w:type="spellEnd"/>
      <w:r w:rsidRPr="007564B2">
        <w:rPr>
          <w:i/>
        </w:rPr>
        <w:t xml:space="preserve"> </w:t>
      </w:r>
      <w:proofErr w:type="spellStart"/>
      <w:r w:rsidRPr="007564B2">
        <w:rPr>
          <w:i/>
        </w:rPr>
        <w:t>hadar</w:t>
      </w:r>
      <w:proofErr w:type="spellEnd"/>
    </w:p>
    <w:p w:rsidR="007564B2" w:rsidRDefault="007564B2" w:rsidP="007564B2">
      <w:pPr>
        <w:pStyle w:val="ListParagraph"/>
        <w:ind w:left="1800"/>
      </w:pPr>
    </w:p>
    <w:p w:rsidR="003838B2" w:rsidRDefault="003838B2" w:rsidP="00E95654">
      <w:pPr>
        <w:pStyle w:val="ListParagraph"/>
        <w:numPr>
          <w:ilvl w:val="0"/>
          <w:numId w:val="13"/>
        </w:numPr>
      </w:pPr>
      <w:r>
        <w:t>The off-</w:t>
      </w:r>
      <w:r w:rsidR="00622A28">
        <w:t>duty police officer</w:t>
      </w:r>
    </w:p>
    <w:p w:rsidR="003838B2" w:rsidRDefault="003838B2" w:rsidP="003838B2"/>
    <w:p w:rsidR="003838B2" w:rsidRDefault="00DE706B" w:rsidP="00DE706B">
      <w:pPr>
        <w:pStyle w:val="ListParagraph"/>
        <w:numPr>
          <w:ilvl w:val="0"/>
          <w:numId w:val="2"/>
        </w:numPr>
      </w:pPr>
      <w:r>
        <w:t xml:space="preserve">Meta- </w:t>
      </w:r>
      <w:proofErr w:type="spellStart"/>
      <w:r w:rsidR="003838B2">
        <w:t>hakirot</w:t>
      </w:r>
      <w:proofErr w:type="spellEnd"/>
      <w:r w:rsidR="000C18E0">
        <w:t>: Wave of the Future</w:t>
      </w:r>
      <w:r w:rsidR="003838B2">
        <w:t>?</w:t>
      </w:r>
      <w:r w:rsidR="000C18E0">
        <w:t xml:space="preserve"> </w:t>
      </w:r>
    </w:p>
    <w:p w:rsidR="003838B2" w:rsidRDefault="003838B2" w:rsidP="003838B2"/>
    <w:p w:rsidR="003838B2" w:rsidRDefault="003838B2" w:rsidP="00DE706B">
      <w:pPr>
        <w:pStyle w:val="ListParagraph"/>
        <w:numPr>
          <w:ilvl w:val="0"/>
          <w:numId w:val="16"/>
        </w:numPr>
      </w:pPr>
      <w:r>
        <w:t>Liberty vs</w:t>
      </w:r>
      <w:r w:rsidR="0036533A">
        <w:t>.</w:t>
      </w:r>
      <w:r>
        <w:t xml:space="preserve"> Equality </w:t>
      </w:r>
    </w:p>
    <w:p w:rsidR="003838B2" w:rsidRDefault="003838B2" w:rsidP="00DE706B">
      <w:pPr>
        <w:pStyle w:val="ListParagraph"/>
        <w:numPr>
          <w:ilvl w:val="0"/>
          <w:numId w:val="16"/>
        </w:numPr>
      </w:pPr>
      <w:r>
        <w:t>Compensation vs. Deterrence</w:t>
      </w:r>
    </w:p>
    <w:p w:rsidR="003838B2" w:rsidRDefault="003838B2" w:rsidP="00DE706B">
      <w:pPr>
        <w:pStyle w:val="ListParagraph"/>
        <w:numPr>
          <w:ilvl w:val="0"/>
          <w:numId w:val="16"/>
        </w:numPr>
      </w:pPr>
      <w:r>
        <w:t>Individualist v. Communitarian</w:t>
      </w:r>
    </w:p>
    <w:p w:rsidR="003838B2" w:rsidRDefault="0036533A" w:rsidP="00DE706B">
      <w:pPr>
        <w:pStyle w:val="ListParagraph"/>
        <w:numPr>
          <w:ilvl w:val="0"/>
          <w:numId w:val="16"/>
        </w:numPr>
      </w:pPr>
      <w:r>
        <w:t>Corrective justice v. Distributive Justice</w:t>
      </w:r>
    </w:p>
    <w:p w:rsidR="00FF4F09" w:rsidRDefault="00BA5F10" w:rsidP="00E95654">
      <w:pPr>
        <w:pStyle w:val="ListParagraph"/>
        <w:numPr>
          <w:ilvl w:val="0"/>
          <w:numId w:val="16"/>
        </w:numPr>
      </w:pPr>
      <w:r>
        <w:t>O</w:t>
      </w:r>
      <w:r w:rsidR="0036533A">
        <w:t xml:space="preserve">r </w:t>
      </w:r>
      <w:proofErr w:type="spellStart"/>
      <w:r>
        <w:t>l</w:t>
      </w:r>
      <w:r w:rsidR="0036533A">
        <w:t>a’goyim</w:t>
      </w:r>
      <w:proofErr w:type="spellEnd"/>
      <w:r w:rsidR="0036533A">
        <w:t xml:space="preserve"> v.</w:t>
      </w:r>
      <w:r w:rsidR="0036533A" w:rsidRPr="0036533A">
        <w:t xml:space="preserve"> Am </w:t>
      </w:r>
      <w:proofErr w:type="spellStart"/>
      <w:r w:rsidR="0036533A" w:rsidRPr="0036533A">
        <w:t>levadad</w:t>
      </w:r>
      <w:proofErr w:type="spellEnd"/>
      <w:r w:rsidR="0036533A" w:rsidRPr="0036533A">
        <w:t xml:space="preserve"> </w:t>
      </w:r>
      <w:proofErr w:type="spellStart"/>
      <w:r w:rsidR="0036533A" w:rsidRPr="0036533A">
        <w:t>yishkon</w:t>
      </w:r>
      <w:proofErr w:type="spellEnd"/>
    </w:p>
    <w:sectPr w:rsidR="00FF4F09" w:rsidSect="004B62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D3" w:rsidRDefault="00273CD3" w:rsidP="004B62D5">
      <w:r>
        <w:separator/>
      </w:r>
    </w:p>
  </w:endnote>
  <w:endnote w:type="continuationSeparator" w:id="0">
    <w:p w:rsidR="00273CD3" w:rsidRDefault="00273CD3" w:rsidP="004B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ponsaTTF">
    <w:altName w:val="Courier New"/>
    <w:panose1 w:val="00000400000000000000"/>
    <w:charset w:val="B1"/>
    <w:family w:val="auto"/>
    <w:pitch w:val="variable"/>
    <w:sig w:usb0="80000803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96" w:rsidRDefault="00141B0C" w:rsidP="00223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96" w:rsidRDefault="00273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96" w:rsidRDefault="00141B0C" w:rsidP="00223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6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12696" w:rsidRDefault="00273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D3" w:rsidRDefault="00273CD3" w:rsidP="004B62D5">
      <w:r>
        <w:separator/>
      </w:r>
    </w:p>
  </w:footnote>
  <w:footnote w:type="continuationSeparator" w:id="0">
    <w:p w:rsidR="00273CD3" w:rsidRDefault="00273CD3" w:rsidP="004B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DF"/>
    <w:multiLevelType w:val="hybridMultilevel"/>
    <w:tmpl w:val="3EB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9FC"/>
    <w:multiLevelType w:val="hybridMultilevel"/>
    <w:tmpl w:val="6E4A993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213BCC"/>
    <w:multiLevelType w:val="hybridMultilevel"/>
    <w:tmpl w:val="A820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475FC"/>
    <w:multiLevelType w:val="hybridMultilevel"/>
    <w:tmpl w:val="2F0A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32BD7"/>
    <w:multiLevelType w:val="hybridMultilevel"/>
    <w:tmpl w:val="1B4C8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40E4E"/>
    <w:multiLevelType w:val="hybridMultilevel"/>
    <w:tmpl w:val="6B4A55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5983"/>
    <w:multiLevelType w:val="hybridMultilevel"/>
    <w:tmpl w:val="F1B2C5BC"/>
    <w:lvl w:ilvl="0" w:tplc="5ED0D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2F6216"/>
    <w:multiLevelType w:val="hybridMultilevel"/>
    <w:tmpl w:val="73A8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7764C"/>
    <w:multiLevelType w:val="hybridMultilevel"/>
    <w:tmpl w:val="218EA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053B9"/>
    <w:multiLevelType w:val="hybridMultilevel"/>
    <w:tmpl w:val="315C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A0195"/>
    <w:multiLevelType w:val="hybridMultilevel"/>
    <w:tmpl w:val="315C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55197"/>
    <w:multiLevelType w:val="hybridMultilevel"/>
    <w:tmpl w:val="A278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11153"/>
    <w:multiLevelType w:val="hybridMultilevel"/>
    <w:tmpl w:val="8406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35D83"/>
    <w:multiLevelType w:val="hybridMultilevel"/>
    <w:tmpl w:val="8D4C27C8"/>
    <w:lvl w:ilvl="0" w:tplc="4A82E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A3571"/>
    <w:multiLevelType w:val="hybridMultilevel"/>
    <w:tmpl w:val="D272E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DC06D4"/>
    <w:multiLevelType w:val="hybridMultilevel"/>
    <w:tmpl w:val="2FB6AA1A"/>
    <w:lvl w:ilvl="0" w:tplc="D30AD72C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7B"/>
    <w:rsid w:val="000C18E0"/>
    <w:rsid w:val="00141B0C"/>
    <w:rsid w:val="0015553F"/>
    <w:rsid w:val="00273CD3"/>
    <w:rsid w:val="002B2A66"/>
    <w:rsid w:val="002C77B0"/>
    <w:rsid w:val="00311AF6"/>
    <w:rsid w:val="00326D9A"/>
    <w:rsid w:val="00350013"/>
    <w:rsid w:val="00352BA0"/>
    <w:rsid w:val="0036533A"/>
    <w:rsid w:val="003838B2"/>
    <w:rsid w:val="00480CBE"/>
    <w:rsid w:val="004B62D5"/>
    <w:rsid w:val="004C4EAC"/>
    <w:rsid w:val="00622A28"/>
    <w:rsid w:val="00657271"/>
    <w:rsid w:val="007564B2"/>
    <w:rsid w:val="007D237B"/>
    <w:rsid w:val="00801687"/>
    <w:rsid w:val="00871F56"/>
    <w:rsid w:val="009752AA"/>
    <w:rsid w:val="00A43024"/>
    <w:rsid w:val="00AB7BDB"/>
    <w:rsid w:val="00AD55A6"/>
    <w:rsid w:val="00AF4F63"/>
    <w:rsid w:val="00BA220B"/>
    <w:rsid w:val="00BA5F10"/>
    <w:rsid w:val="00C36CBC"/>
    <w:rsid w:val="00CB5251"/>
    <w:rsid w:val="00D0742E"/>
    <w:rsid w:val="00DC6022"/>
    <w:rsid w:val="00DD0ECE"/>
    <w:rsid w:val="00DE706B"/>
    <w:rsid w:val="00E02B94"/>
    <w:rsid w:val="00E749AD"/>
    <w:rsid w:val="00E95654"/>
    <w:rsid w:val="00E9566D"/>
    <w:rsid w:val="00EA3753"/>
    <w:rsid w:val="00F87DF6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D2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237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D237B"/>
  </w:style>
  <w:style w:type="paragraph" w:styleId="ListParagraph">
    <w:name w:val="List Paragraph"/>
    <w:basedOn w:val="Normal"/>
    <w:uiPriority w:val="34"/>
    <w:qFormat/>
    <w:rsid w:val="003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 Saiman</dc:creator>
  <cp:lastModifiedBy>Shlomo</cp:lastModifiedBy>
  <cp:revision>2</cp:revision>
  <dcterms:created xsi:type="dcterms:W3CDTF">2010-12-19T03:28:00Z</dcterms:created>
  <dcterms:modified xsi:type="dcterms:W3CDTF">2010-12-19T03:28:00Z</dcterms:modified>
</cp:coreProperties>
</file>