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312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312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312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בירור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יהדות</w:t>
      </w:r>
    </w:p>
    <w:p w:rsidR="00000000" w:rsidDel="00000000" w:rsidP="00000000" w:rsidRDefault="00000000" w:rsidRPr="00000000" w14:paraId="00000004">
      <w:pPr>
        <w:spacing w:after="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שמתגרות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ומריבה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להתרחק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במשפחות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ביחידים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אכזריות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גומל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גבעוני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שסימני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ביישנין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רחמנים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וגומלי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ובגבעונים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והגבעונים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שהעיזו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נתפייסו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למחול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והחיום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בתחלה</w:t>
      </w:r>
    </w:p>
    <w:p w:rsidR="00000000" w:rsidDel="00000000" w:rsidP="00000000" w:rsidRDefault="00000000" w:rsidRPr="00000000" w14:paraId="00000007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0" w:line="312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עומדות</w:t>
      </w:r>
    </w:p>
    <w:p w:rsidR="00000000" w:rsidDel="00000000" w:rsidP="00000000" w:rsidRDefault="00000000" w:rsidRPr="00000000" w14:paraId="0000000A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line="312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הוזהרו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לינשא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וחרורי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הקפידה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לאצרוכינהו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ושתוקות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לחששא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ולמיבדק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אצרכינהו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line="312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0F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בתירוץ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מחולקים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לתירוץ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ולכאורה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בתירוץ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ולתירוץ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תירוצים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ובסימן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דהמחבר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הסוגיא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הארכתי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אכילנא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ואזלינן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החולץ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נסיב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נתגיירתי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דמצי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בהחולץ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נקבלנו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באבהתיה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נקבלנו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ועדיו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יגור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בארצכם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בחוצה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ועדיו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דאמרי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שנתגייר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ליהמנייהו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נדפס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במוחזק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בדידעינן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ידעינן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דמהימן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סליק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ואכיל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משמעתין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דאיסורא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בחוצה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וליהמין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במגו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כדמוכח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מההוא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דסליק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ואכיל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דפסחים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שאסר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שהתיר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דהכא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מיירי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בדמוחזק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וסומכים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דמילתא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דעבידא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לאיגלויי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משקר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מעשים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יום</w:t>
      </w:r>
    </w:p>
    <w:p w:rsidR="00000000" w:rsidDel="00000000" w:rsidP="00000000" w:rsidRDefault="00000000" w:rsidRPr="00000000" w14:paraId="00000020">
      <w:pPr>
        <w:bidi w:val="1"/>
        <w:spacing w:after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רסח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נתגיירתי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כראוי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ראינום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נתגיירו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שיביאו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שיטבלו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והוחזקו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ונתגייר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שהתיר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spacing w:after="0" w:line="374.4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36" w:sz="0" w:val="none"/>
          <w:between w:color="000000" w:space="0" w:sz="0" w:val="none"/>
        </w:pBdr>
        <w:bidi w:val="1"/>
        <w:spacing w:after="0" w:line="374.4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שמתנהגים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בלשונינו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ויודעים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ומאיזה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0" w:line="312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0" w:line="312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419600" cy="1485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B">
      <w:pPr>
        <w:bidi w:val="1"/>
        <w:spacing w:after="0" w:line="312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שראינום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אמירתם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ומתביישים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נשואה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להאמינה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לגיירה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גיירוה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להסוברים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וגיירו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תמיהני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שגיירוה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שהטבילו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שגיורת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שאסורה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שפסולה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פלוגתא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דרבוותא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להזדקק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פיינשטיין</w:t>
      </w:r>
    </w:p>
    <w:p w:rsidR="00000000" w:rsidDel="00000000" w:rsidP="00000000" w:rsidRDefault="00000000" w:rsidRPr="00000000" w14:paraId="0000002F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31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31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בנערה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שנשתמדה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אייזיק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נילאם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הנערה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שנשתמדה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ונתגדלה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והחזיקה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נולדה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לנערה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שנתגייר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דהוכיחו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דנתגיירתי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דמצי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שהוצרכו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האמינוהו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להארמאה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להאכילו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והוצרכו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שנוהגין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בהכרח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ובניך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בכשרות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לפוסלן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כשיאמר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מכחישו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לפוסלו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לפוסלו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בהחולץ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נקבלנו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באבהתיה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כוונתם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דנחשב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תירצו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באבהתיה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להחזיקו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נתגייר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ראינוהו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ובחדושי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הארכתי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שלכאורה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כסוגיין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ונוהגת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להכנס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דבמלתא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שבצרפת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קרובים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ממשפחת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זקנתה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שיטעמו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תיכף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האדרעס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למיקם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שבערוה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שנוגע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משבויה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ותרומה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לתירוץ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שכוונת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דאיסורין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שנתגייר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דוכתא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כנכרית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בקבלת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וטבילה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ובברכה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מתגיירת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מתברר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ונשתמדה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כהסוברין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שבארתי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0" w:line="312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שנתבאר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להפרישה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מאיסורין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אנפשה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פיינשטיין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2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0" w:line="3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qG0WYtTtpq8O9lX9mi4QBjN8Ww==">AMUW2mXm+yL/kFYVKdeWDYbni2R/E+ZccfnXXm68QJ30chMAEVirmFbLCQ/3axGRAwHoJ4sU50QjhQKKfg0vFqa290HfOuwLZtdX0Wd8SOqmxtREyIwSmGY=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