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Birchot haNehenin- D’Oraita or D’Rabanan?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Tosafot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Berachot</w:t>
      </w:r>
      <w:r w:rsidDel="00000000" w:rsidR="00000000" w:rsidRPr="00000000">
        <w:rPr>
          <w:b w:val="1"/>
          <w:u w:val="single"/>
          <w:rtl w:val="0"/>
        </w:rPr>
        <w:t xml:space="preserve"> 35</w:t>
      </w:r>
      <w:r w:rsidDel="00000000" w:rsidR="00000000" w:rsidRPr="00000000">
        <w:rPr>
          <w:b w:val="1"/>
          <w:u w:val="single"/>
          <w:rtl w:val="0"/>
        </w:rPr>
        <w:t xml:space="preserve">a</w:t>
      </w:r>
      <w:r w:rsidDel="00000000" w:rsidR="00000000" w:rsidRPr="00000000">
        <w:rPr>
          <w:b w:val="1"/>
          <w:u w:val="single"/>
          <w:rtl w:val="0"/>
        </w:rPr>
        <w:t xml:space="preserve"> “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סברא</w:t>
      </w:r>
      <w:r w:rsidDel="00000000" w:rsidR="00000000" w:rsidRPr="00000000">
        <w:rPr>
          <w:b w:val="1"/>
          <w:u w:val="single"/>
          <w:rtl w:val="0"/>
        </w:rPr>
        <w:t xml:space="preserve">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Ritva Hilchot Berachot 1:2</w:t>
      </w:r>
    </w:p>
    <w:p w:rsidR="00000000" w:rsidDel="00000000" w:rsidP="00000000" w:rsidRDefault="00000000" w:rsidRPr="00000000">
      <w:pPr>
        <w:contextualSpacing w:val="0"/>
        <w:jc w:val="left"/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3890356" cy="16716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0356" cy="167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Penei Yehoshua Berachot 35a</w:t>
      </w:r>
    </w:p>
    <w:p w:rsidR="00000000" w:rsidDel="00000000" w:rsidP="00000000" w:rsidRDefault="00000000" w:rsidRPr="00000000">
      <w:pPr>
        <w:bidi w:val="1"/>
        <w:contextualSpacing w:val="0"/>
        <w:rPr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בגמרא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אלא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סברא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אסור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לאדם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כו</w:t>
      </w:r>
      <w:r w:rsidDel="00000000" w:rsidR="00000000" w:rsidRPr="00000000">
        <w:rPr>
          <w:b w:val="1"/>
          <w:sz w:val="26"/>
          <w:szCs w:val="26"/>
          <w:rtl w:val="1"/>
        </w:rPr>
        <w:t xml:space="preserve">'.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משמע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מלשון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הפוסקים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דלפום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מסקנא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דהכא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הנהנין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מדרבנן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מברכת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המזון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ולרשב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מינין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דלאחריו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מדאורייתא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אבל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בשאר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מודה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ולענ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לכאורה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לתמוה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משמע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דמידי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דאתיא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מסברא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מדאורייתא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ואדרבה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סברא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ובאמת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מלשון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התוס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הכרע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דאפשר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שכתבו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וקרא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דנסיב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לעיל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היינו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אסמכתא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בעלמא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אפשר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דנתכוונו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עצמו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דכיון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דסברא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איצטריך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קרא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Rambam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Peyrush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Mishnayot</w:t>
      </w:r>
      <w:r w:rsidDel="00000000" w:rsidR="00000000" w:rsidRPr="00000000">
        <w:rPr>
          <w:b w:val="1"/>
          <w:u w:val="single"/>
          <w:rtl w:val="0"/>
        </w:rPr>
        <w:t xml:space="preserve"> (</w:t>
      </w:r>
      <w:r w:rsidDel="00000000" w:rsidR="00000000" w:rsidRPr="00000000">
        <w:rPr>
          <w:b w:val="1"/>
          <w:u w:val="single"/>
          <w:rtl w:val="0"/>
        </w:rPr>
        <w:t xml:space="preserve">Introduction</w:t>
      </w:r>
      <w:r w:rsidDel="00000000" w:rsidR="00000000" w:rsidRPr="00000000">
        <w:rPr>
          <w:b w:val="1"/>
          <w:u w:val="single"/>
          <w:rtl w:val="0"/>
        </w:rPr>
        <w:t xml:space="preserve">, “</w:t>
      </w:r>
      <w:r w:rsidDel="00000000" w:rsidR="00000000" w:rsidRPr="00000000">
        <w:rPr>
          <w:b w:val="1"/>
          <w:u w:val="single"/>
          <w:rtl w:val="1"/>
        </w:rPr>
        <w:t xml:space="preserve">וכאשר</w:t>
      </w:r>
      <w:r w:rsidDel="00000000" w:rsidR="00000000" w:rsidRPr="00000000">
        <w:rPr>
          <w:b w:val="1"/>
          <w:u w:val="single"/>
          <w:rtl w:val="0"/>
        </w:rPr>
        <w:t xml:space="preserve">”)</w:t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ולפיכך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כשאמרנו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שעורין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מסיני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הקשינו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ואמרנו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תאמר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עליהם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מסיני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השיעורים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רמוזים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בפסוק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ארץ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חטה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ושעורה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והיתה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התשובה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מסיני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יסוד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שילמדו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ממנו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המדות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רמז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התורה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הסמיכום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לפסוק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כעין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סימן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שישמרום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ויזכרום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ואין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מענין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הפסוק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וזהו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אמרם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אסמכתא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בעלמא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שנזכר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>
      <w:pPr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Ritva Rosh Hashana 16a</w:t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דקאמר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אמר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הקב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אמרו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מלכיות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ושופרות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דאע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דפסוקי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מלכיות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זכרונות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ושופרות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אינם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מדרבנן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כדפרישנא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שאמרה</w:t>
      </w:r>
      <w:r w:rsidDel="00000000" w:rsidR="00000000" w:rsidRPr="00000000">
        <w:rPr>
          <w:sz w:val="26"/>
          <w:szCs w:val="26"/>
          <w:rtl w:val="1"/>
        </w:rPr>
        <w:t xml:space="preserve"> [</w:t>
      </w:r>
      <w:r w:rsidDel="00000000" w:rsidR="00000000" w:rsidRPr="00000000">
        <w:rPr>
          <w:sz w:val="26"/>
          <w:szCs w:val="26"/>
          <w:rtl w:val="1"/>
        </w:rPr>
        <w:t xml:space="preserve">תורה</w:t>
      </w:r>
      <w:r w:rsidDel="00000000" w:rsidR="00000000" w:rsidRPr="00000000">
        <w:rPr>
          <w:sz w:val="26"/>
          <w:szCs w:val="26"/>
          <w:rtl w:val="1"/>
        </w:rPr>
        <w:t xml:space="preserve">] </w:t>
      </w:r>
      <w:r w:rsidDel="00000000" w:rsidR="00000000" w:rsidRPr="00000000">
        <w:rPr>
          <w:sz w:val="26"/>
          <w:szCs w:val="26"/>
          <w:rtl w:val="1"/>
        </w:rPr>
        <w:t xml:space="preserve">זכרון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ללמוד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שראוי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להזכיר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פסוקי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תרועה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ופסוקי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זכרון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ומלכיות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נפקא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שדרשו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רז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מסיפרי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מפסוק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לכם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לזכרון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אלקיכם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אלקיכם</w:t>
      </w:r>
      <w:r w:rsidDel="00000000" w:rsidR="00000000" w:rsidRPr="00000000">
        <w:rPr>
          <w:sz w:val="26"/>
          <w:szCs w:val="26"/>
          <w:rtl w:val="1"/>
        </w:rPr>
        <w:t xml:space="preserve">… </w:t>
      </w:r>
      <w:r w:rsidDel="00000000" w:rsidR="00000000" w:rsidRPr="00000000">
        <w:rPr>
          <w:sz w:val="26"/>
          <w:szCs w:val="26"/>
          <w:rtl w:val="1"/>
        </w:rPr>
        <w:t xml:space="preserve">שכל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אסמכתא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הפסוק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העיר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הקב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שראוי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לעשות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קבעו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חובה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ומסרו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לחכמים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ואמת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כדברי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המפרשים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האסמכתות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כדרך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סימן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שנתנו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חכמים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שכונת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לכך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ח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ישתקע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הדבר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יאמר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שזו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דעת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מינות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אבל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התורה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העידה</w:t>
      </w:r>
      <w:r w:rsidDel="00000000" w:rsidR="00000000" w:rsidRPr="00000000">
        <w:rPr>
          <w:sz w:val="26"/>
          <w:szCs w:val="26"/>
          <w:rtl w:val="1"/>
        </w:rPr>
        <w:t xml:space="preserve">) [</w:t>
      </w:r>
      <w:r w:rsidDel="00000000" w:rsidR="00000000" w:rsidRPr="00000000">
        <w:rPr>
          <w:sz w:val="26"/>
          <w:szCs w:val="26"/>
          <w:rtl w:val="1"/>
        </w:rPr>
        <w:t xml:space="preserve">העירה</w:t>
      </w:r>
      <w:r w:rsidDel="00000000" w:rsidR="00000000" w:rsidRPr="00000000">
        <w:rPr>
          <w:sz w:val="26"/>
          <w:szCs w:val="26"/>
          <w:rtl w:val="1"/>
        </w:rPr>
        <w:t xml:space="preserve">] </w:t>
      </w:r>
      <w:r w:rsidDel="00000000" w:rsidR="00000000" w:rsidRPr="00000000">
        <w:rPr>
          <w:sz w:val="26"/>
          <w:szCs w:val="26"/>
          <w:rtl w:val="1"/>
        </w:rPr>
        <w:t xml:space="preserve">בכך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ומסרה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חיוב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הדבר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לקבעו</w:t>
      </w:r>
      <w:r w:rsidDel="00000000" w:rsidR="00000000" w:rsidRPr="00000000">
        <w:rPr>
          <w:sz w:val="26"/>
          <w:szCs w:val="26"/>
          <w:rtl w:val="1"/>
        </w:rPr>
        <w:t xml:space="preserve"> [</w:t>
      </w:r>
      <w:r w:rsidDel="00000000" w:rsidR="00000000" w:rsidRPr="00000000">
        <w:rPr>
          <w:sz w:val="26"/>
          <w:szCs w:val="26"/>
          <w:rtl w:val="1"/>
        </w:rPr>
        <w:t xml:space="preserve">ל</w:t>
      </w:r>
      <w:r w:rsidDel="00000000" w:rsidR="00000000" w:rsidRPr="00000000">
        <w:rPr>
          <w:sz w:val="26"/>
          <w:szCs w:val="26"/>
          <w:rtl w:val="1"/>
        </w:rPr>
        <w:t xml:space="preserve">]</w:t>
      </w:r>
      <w:r w:rsidDel="00000000" w:rsidR="00000000" w:rsidRPr="00000000">
        <w:rPr>
          <w:sz w:val="26"/>
          <w:szCs w:val="26"/>
          <w:rtl w:val="1"/>
        </w:rPr>
        <w:t xml:space="preserve">חכמים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ירצו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שנאמר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ועשית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הדבר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יגידו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לך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ולפיכך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תמצא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החכמים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נותנין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ראיה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זכר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אסמכתא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לדבריהם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כלומר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שאינם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מחדשים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מלבם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שבע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פ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רמוזה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שבכתב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תמימה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וח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חסירה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כלום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Talmud Bavli, Berachot 12a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פשיטא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היכא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נקיט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כסא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דחמרא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בידיה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וקסבר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דשכרא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ופתח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ומברך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אדעתא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דשכרא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בדחמרא</w:t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יצא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דאי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נהיה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בדברו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יצא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דהא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תנן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כולם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נהיה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בדברו</w:t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יצא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אלא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היכא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נקיט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כסא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דשכרא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בידיה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וקסבר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דחמרא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פתח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אדעתא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דחמרא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בדשכרא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מאי</w:t>
      </w:r>
      <w:r w:rsidDel="00000000" w:rsidR="00000000" w:rsidRPr="00000000">
        <w:rPr>
          <w:sz w:val="26"/>
          <w:szCs w:val="26"/>
          <w:rtl w:val="1"/>
        </w:rPr>
        <w:t xml:space="preserve">? </w:t>
      </w:r>
      <w:r w:rsidDel="00000000" w:rsidR="00000000" w:rsidRPr="00000000">
        <w:rPr>
          <w:sz w:val="26"/>
          <w:szCs w:val="26"/>
          <w:rtl w:val="1"/>
        </w:rPr>
        <w:t xml:space="preserve">בתר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עיקר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אזלינן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חתימה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אזלינן</w:t>
      </w:r>
      <w:r w:rsidDel="00000000" w:rsidR="00000000" w:rsidRPr="00000000">
        <w:rPr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Rashi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אלא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קא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מבעיא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לן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פתח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אדעתא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דחמרא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בורא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הגפן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וכשהגיע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למלך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העולם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נזכר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שכר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שהכל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מהו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Tosafot berachot 12a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לאתויי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נהמא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ופירש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אלפס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אפשיטא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בעיין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אזלינן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לקולא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ואפילו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פתח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בחמרא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בשכרא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יצא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ור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אומר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לחומרא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לברך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פעם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>
      <w:pPr>
        <w:contextualSpacing w:val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Magen Avraham, Orach Chaim 209:3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פסקו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התוס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לחומר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ספק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להקל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הקשה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צ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ואפשר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לומ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דס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מצות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צריכות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והכא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נתכוין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התוס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ובב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לכ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צריך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לחזור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פתח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כהוגן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כיון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שהי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ספ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וספ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ח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Rabbi Akiva Eiger, Berachot 12a</w:t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תוס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לחומרא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כו</w:t>
      </w:r>
      <w:r w:rsidDel="00000000" w:rsidR="00000000" w:rsidRPr="00000000">
        <w:rPr>
          <w:sz w:val="26"/>
          <w:szCs w:val="26"/>
          <w:rtl w:val="1"/>
        </w:rPr>
        <w:t xml:space="preserve">'.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שייך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הכא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לומר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ספק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לקולא</w:t>
      </w:r>
      <w:r w:rsidDel="00000000" w:rsidR="00000000" w:rsidRPr="00000000">
        <w:rPr>
          <w:sz w:val="26"/>
          <w:szCs w:val="26"/>
          <w:rtl w:val="1"/>
        </w:rPr>
        <w:t xml:space="preserve"> [</w:t>
      </w:r>
      <w:r w:rsidDel="00000000" w:rsidR="00000000" w:rsidRPr="00000000">
        <w:rPr>
          <w:sz w:val="26"/>
          <w:szCs w:val="26"/>
          <w:rtl w:val="1"/>
        </w:rPr>
        <w:t xml:space="preserve">ובמג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סימן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הקשה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כן</w:t>
      </w:r>
      <w:r w:rsidDel="00000000" w:rsidR="00000000" w:rsidRPr="00000000">
        <w:rPr>
          <w:sz w:val="26"/>
          <w:szCs w:val="26"/>
          <w:rtl w:val="1"/>
        </w:rPr>
        <w:t xml:space="preserve">] </w:t>
      </w:r>
      <w:r w:rsidDel="00000000" w:rsidR="00000000" w:rsidRPr="00000000">
        <w:rPr>
          <w:sz w:val="26"/>
          <w:szCs w:val="26"/>
          <w:rtl w:val="1"/>
        </w:rPr>
        <w:t xml:space="preserve">דכבר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בפסחים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בפי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רשב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להודיעך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כחו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דל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בברכת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המצות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דהברכות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אינן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מעכבות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אבל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בברכת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הנהנין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אסור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לאכול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הוי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כאן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חשש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לבטלה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דאם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יברך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יהא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אסור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לשתות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אח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ראיתי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באבן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העוזר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סימן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רי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שכ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כ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מסברא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דנפשיה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ולא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דברי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הרש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ועיין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לקמן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בתוס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מ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Rabbi Effie Kleinberg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