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36C" w14:textId="688F8B3C" w:rsidR="00F21119" w:rsidRDefault="00D036C2" w:rsidP="004B0909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5D0CC4">
        <w:rPr>
          <w:u w:val="single"/>
        </w:rPr>
        <w:t>4</w:t>
      </w:r>
    </w:p>
    <w:p w14:paraId="6975BB77" w14:textId="77777777" w:rsidR="001E0305" w:rsidRDefault="001E0305" w:rsidP="00001990">
      <w:pPr>
        <w:spacing w:after="120"/>
        <w:jc w:val="both"/>
        <w:rPr>
          <w:rtl/>
        </w:rPr>
      </w:pPr>
    </w:p>
    <w:p w14:paraId="0FD337D7" w14:textId="1DE6BDA6" w:rsidR="0085289B" w:rsidRDefault="0085289B" w:rsidP="0085289B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>
        <w:rPr>
          <w:rFonts w:hint="cs"/>
          <w:rtl/>
        </w:rPr>
        <w:t>1</w:t>
      </w:r>
      <w:r>
        <w:rPr>
          <w:rFonts w:hint="cs"/>
          <w:rtl/>
        </w:rPr>
        <w:t>) עוד בענין</w:t>
      </w:r>
      <w:r>
        <w:rPr>
          <w:rFonts w:hint="cs"/>
          <w:rtl/>
        </w:rPr>
        <w:t xml:space="preserve"> קרן תלושה וקרן מחוברת:</w:t>
      </w:r>
    </w:p>
    <w:p w14:paraId="2049611D" w14:textId="4D111D22" w:rsidR="0085289B" w:rsidRDefault="0085289B" w:rsidP="0085289B">
      <w:pPr>
        <w:spacing w:after="120"/>
        <w:jc w:val="both"/>
        <w:rPr>
          <w:rtl/>
        </w:rPr>
      </w:pPr>
      <w:r>
        <w:rPr>
          <w:rFonts w:hint="cs"/>
          <w:rtl/>
        </w:rPr>
        <w:t>תוס' ב: ד"ה אבל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 xml:space="preserve">שטמ"ק בשם תלמיד ר' פרץ, תוס' רא"ש, </w:t>
      </w: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תוס'</w:t>
      </w:r>
      <w:r>
        <w:rPr>
          <w:rFonts w:hint="cs"/>
          <w:rtl/>
        </w:rPr>
        <w:t xml:space="preserve">, </w:t>
      </w:r>
      <w:proofErr w:type="spellStart"/>
      <w:r w:rsidR="000B20CE">
        <w:rPr>
          <w:rFonts w:hint="cs"/>
          <w:rtl/>
        </w:rPr>
        <w:t>ומהר"י</w:t>
      </w:r>
      <w:proofErr w:type="spellEnd"/>
      <w:r w:rsidR="000B20CE">
        <w:rPr>
          <w:rFonts w:hint="cs"/>
          <w:rtl/>
        </w:rPr>
        <w:t xml:space="preserve"> כץ, [</w:t>
      </w:r>
      <w:r>
        <w:rPr>
          <w:rFonts w:hint="cs"/>
          <w:rtl/>
        </w:rPr>
        <w:t>רשב"א ד"ה אבל</w:t>
      </w:r>
      <w:r>
        <w:rPr>
          <w:rFonts w:hint="cs"/>
          <w:rtl/>
        </w:rPr>
        <w:t xml:space="preserve"> במחוברת</w:t>
      </w:r>
      <w:r w:rsidR="000B20CE">
        <w:rPr>
          <w:rFonts w:hint="cs"/>
          <w:rtl/>
        </w:rPr>
        <w:t>]</w:t>
      </w:r>
    </w:p>
    <w:p w14:paraId="3A1F6363" w14:textId="77777777" w:rsidR="0085289B" w:rsidRDefault="0085289B" w:rsidP="0085289B">
      <w:pPr>
        <w:spacing w:after="120"/>
        <w:jc w:val="both"/>
        <w:rPr>
          <w:rtl/>
        </w:rPr>
      </w:pPr>
      <w:r>
        <w:rPr>
          <w:rFonts w:hint="cs"/>
          <w:rtl/>
        </w:rPr>
        <w:t>גמ' ה: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"אמר רבא </w:t>
      </w:r>
      <w:proofErr w:type="spellStart"/>
      <w:r>
        <w:rPr>
          <w:rFonts w:hint="cs"/>
          <w:rtl/>
        </w:rPr>
        <w:t>וכולהו</w:t>
      </w:r>
      <w:proofErr w:type="spellEnd"/>
      <w:r>
        <w:rPr>
          <w:rFonts w:hint="cs"/>
          <w:rtl/>
        </w:rPr>
        <w:t xml:space="preserve"> ... לפטור בו את הטמון", חי' </w:t>
      </w:r>
      <w:proofErr w:type="spellStart"/>
      <w:r>
        <w:rPr>
          <w:rFonts w:hint="cs"/>
          <w:rtl/>
        </w:rPr>
        <w:t>הגרי"ז</w:t>
      </w:r>
      <w:proofErr w:type="spellEnd"/>
      <w:r>
        <w:rPr>
          <w:rFonts w:hint="cs"/>
          <w:rtl/>
        </w:rPr>
        <w:t xml:space="preserve"> על הרמב"ם ריש הל' נזקי ממון</w:t>
      </w:r>
    </w:p>
    <w:p w14:paraId="61349C3D" w14:textId="77777777" w:rsidR="0085289B" w:rsidRDefault="0085289B" w:rsidP="0085289B">
      <w:pPr>
        <w:spacing w:after="120"/>
        <w:jc w:val="both"/>
      </w:pPr>
    </w:p>
    <w:p w14:paraId="085CCD59" w14:textId="7816DC95" w:rsidR="0007193B" w:rsidRDefault="00897D5C" w:rsidP="0085289B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85289B">
        <w:rPr>
          <w:rFonts w:hint="cs"/>
          <w:rtl/>
        </w:rPr>
        <w:t>2</w:t>
      </w:r>
      <w:r>
        <w:rPr>
          <w:rFonts w:hint="cs"/>
          <w:rtl/>
        </w:rPr>
        <w:t>)</w:t>
      </w:r>
      <w:r w:rsidR="003C1211">
        <w:rPr>
          <w:rFonts w:hint="cs"/>
          <w:rtl/>
        </w:rPr>
        <w:t xml:space="preserve"> עוד</w:t>
      </w:r>
      <w:r w:rsidR="005249AA">
        <w:t xml:space="preserve"> </w:t>
      </w:r>
      <w:r w:rsidR="00ED49EA">
        <w:rPr>
          <w:rFonts w:hint="cs"/>
          <w:rtl/>
        </w:rPr>
        <w:t xml:space="preserve">בענין </w:t>
      </w:r>
      <w:r w:rsidR="0007193B">
        <w:rPr>
          <w:rFonts w:hint="cs"/>
          <w:rtl/>
        </w:rPr>
        <w:t>מועד לאדם ומועד לבהמה:</w:t>
      </w:r>
    </w:p>
    <w:p w14:paraId="2D315E32" w14:textId="77777777" w:rsidR="00FB26A9" w:rsidRDefault="0007193B" w:rsidP="00B501E4">
      <w:pPr>
        <w:spacing w:after="120"/>
        <w:jc w:val="both"/>
      </w:pPr>
      <w:r>
        <w:rPr>
          <w:rFonts w:hint="cs"/>
          <w:rtl/>
        </w:rPr>
        <w:t xml:space="preserve">האם מועד לאדם הוי מועד לבהמה? </w:t>
      </w:r>
    </w:p>
    <w:p w14:paraId="7BB6C037" w14:textId="4AFF81CA" w:rsidR="00FB26A9" w:rsidRDefault="00ED49EA" w:rsidP="006D112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תוד"ה </w:t>
      </w:r>
      <w:proofErr w:type="spellStart"/>
      <w:r>
        <w:rPr>
          <w:rFonts w:hint="cs"/>
          <w:rtl/>
        </w:rPr>
        <w:t>ומלתא</w:t>
      </w:r>
      <w:proofErr w:type="spellEnd"/>
      <w:r w:rsidR="005F53AC">
        <w:rPr>
          <w:rFonts w:hint="cs"/>
          <w:rtl/>
        </w:rPr>
        <w:t>, ת</w:t>
      </w:r>
      <w:r>
        <w:rPr>
          <w:rFonts w:hint="cs"/>
          <w:rtl/>
        </w:rPr>
        <w:t xml:space="preserve">וס' ר"פ ד"ה </w:t>
      </w:r>
      <w:proofErr w:type="spellStart"/>
      <w:r>
        <w:rPr>
          <w:rFonts w:hint="cs"/>
          <w:rtl/>
        </w:rPr>
        <w:t>דמועד</w:t>
      </w:r>
      <w:proofErr w:type="spellEnd"/>
      <w:r>
        <w:rPr>
          <w:rFonts w:hint="cs"/>
          <w:rtl/>
        </w:rPr>
        <w:t xml:space="preserve"> לאדם</w:t>
      </w:r>
      <w:r w:rsidR="00D671CD">
        <w:rPr>
          <w:rFonts w:hint="cs"/>
          <w:rtl/>
        </w:rPr>
        <w:t xml:space="preserve"> (או שטמ"ק ד"ה מועד לאדם)</w:t>
      </w:r>
      <w:r w:rsidR="006D1124">
        <w:rPr>
          <w:rFonts w:hint="cs"/>
          <w:rtl/>
        </w:rPr>
        <w:t xml:space="preserve">, </w:t>
      </w:r>
      <w:r>
        <w:rPr>
          <w:rFonts w:hint="cs"/>
          <w:rtl/>
        </w:rPr>
        <w:t xml:space="preserve">שטמ"ק ד"ה לפירוש </w:t>
      </w:r>
      <w:proofErr w:type="spellStart"/>
      <w:r>
        <w:rPr>
          <w:rFonts w:hint="cs"/>
          <w:rtl/>
        </w:rPr>
        <w:t>הריב"א</w:t>
      </w:r>
      <w:proofErr w:type="spellEnd"/>
      <w:r>
        <w:rPr>
          <w:rFonts w:hint="cs"/>
          <w:rtl/>
        </w:rPr>
        <w:t xml:space="preserve"> ז"ל, ד"ה וז"ל נמצא </w:t>
      </w:r>
      <w:proofErr w:type="spellStart"/>
      <w:r>
        <w:rPr>
          <w:rFonts w:hint="cs"/>
          <w:rtl/>
        </w:rPr>
        <w:t>בגליון</w:t>
      </w:r>
      <w:proofErr w:type="spellEnd"/>
    </w:p>
    <w:p w14:paraId="1D52D6E9" w14:textId="4956422A" w:rsidR="00FB26A9" w:rsidRDefault="00D671CD" w:rsidP="006D112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ראב"ד </w:t>
      </w:r>
      <w:proofErr w:type="spellStart"/>
      <w:r>
        <w:rPr>
          <w:rFonts w:hint="cs"/>
          <w:rtl/>
        </w:rPr>
        <w:t>סוד"ה</w:t>
      </w:r>
      <w:proofErr w:type="spellEnd"/>
      <w:r>
        <w:rPr>
          <w:rFonts w:hint="cs"/>
          <w:rtl/>
        </w:rPr>
        <w:t xml:space="preserve"> פתח הכתוב "ונפקא מינה ..."</w:t>
      </w:r>
      <w:r w:rsidR="006D1124">
        <w:rPr>
          <w:rFonts w:hint="cs"/>
          <w:rtl/>
        </w:rPr>
        <w:t xml:space="preserve">; </w:t>
      </w:r>
      <w:r w:rsidR="00FB26A9">
        <w:rPr>
          <w:rFonts w:hint="cs"/>
          <w:rtl/>
        </w:rPr>
        <w:t xml:space="preserve">פסקי רי"ד </w:t>
      </w:r>
      <w:proofErr w:type="spellStart"/>
      <w:r w:rsidR="00FB26A9">
        <w:rPr>
          <w:rFonts w:hint="cs"/>
          <w:rtl/>
        </w:rPr>
        <w:t>לז</w:t>
      </w:r>
      <w:proofErr w:type="spellEnd"/>
      <w:r w:rsidR="00FB26A9">
        <w:rPr>
          <w:rFonts w:hint="cs"/>
          <w:rtl/>
        </w:rPr>
        <w:t>. ד"ה מתני' שור שהוא מועד</w:t>
      </w:r>
    </w:p>
    <w:p w14:paraId="5C9D4B62" w14:textId="0E0B7CDE" w:rsidR="00ED49EA" w:rsidRDefault="00D671CD" w:rsidP="00B501E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[גמ' 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 xml:space="preserve">. </w:t>
      </w:r>
      <w:r w:rsidR="00A222DE">
        <w:rPr>
          <w:rFonts w:hint="cs"/>
          <w:rtl/>
        </w:rPr>
        <w:t xml:space="preserve">"איתמר רב </w:t>
      </w:r>
      <w:proofErr w:type="spellStart"/>
      <w:r w:rsidR="00A222DE">
        <w:rPr>
          <w:rFonts w:hint="cs"/>
          <w:rtl/>
        </w:rPr>
        <w:t>זביד</w:t>
      </w:r>
      <w:proofErr w:type="spellEnd"/>
      <w:r w:rsidR="00A222DE">
        <w:rPr>
          <w:rFonts w:hint="cs"/>
          <w:rtl/>
        </w:rPr>
        <w:t xml:space="preserve"> ... </w:t>
      </w:r>
      <w:proofErr w:type="spellStart"/>
      <w:r w:rsidR="00A222DE">
        <w:rPr>
          <w:rFonts w:hint="cs"/>
          <w:rtl/>
        </w:rPr>
        <w:t>מיהא</w:t>
      </w:r>
      <w:proofErr w:type="spellEnd"/>
      <w:r w:rsidR="00A222DE">
        <w:rPr>
          <w:rFonts w:hint="cs"/>
          <w:rtl/>
        </w:rPr>
        <w:t xml:space="preserve"> חזרה היא", שטמ"ק שם ד"ה </w:t>
      </w:r>
      <w:proofErr w:type="spellStart"/>
      <w:r w:rsidR="00B501E4">
        <w:rPr>
          <w:rtl/>
        </w:rPr>
        <w:t>קמשמע</w:t>
      </w:r>
      <w:proofErr w:type="spellEnd"/>
      <w:r w:rsidR="00B501E4">
        <w:rPr>
          <w:rtl/>
        </w:rPr>
        <w:t xml:space="preserve"> לן </w:t>
      </w:r>
      <w:proofErr w:type="spellStart"/>
      <w:r w:rsidR="00B501E4">
        <w:rPr>
          <w:rtl/>
        </w:rPr>
        <w:t>דחזרה</w:t>
      </w:r>
      <w:proofErr w:type="spellEnd"/>
      <w:r w:rsidR="00B501E4">
        <w:rPr>
          <w:rtl/>
        </w:rPr>
        <w:t xml:space="preserve"> </w:t>
      </w:r>
      <w:proofErr w:type="spellStart"/>
      <w:r w:rsidR="00B501E4">
        <w:rPr>
          <w:rtl/>
        </w:rPr>
        <w:t>דבהמה</w:t>
      </w:r>
      <w:proofErr w:type="spellEnd"/>
      <w:r w:rsidR="00B501E4">
        <w:rPr>
          <w:rtl/>
        </w:rPr>
        <w:t xml:space="preserve"> </w:t>
      </w:r>
      <w:proofErr w:type="spellStart"/>
      <w:r w:rsidR="00B501E4">
        <w:rPr>
          <w:rtl/>
        </w:rPr>
        <w:t>נמי</w:t>
      </w:r>
      <w:proofErr w:type="spellEnd"/>
      <w:r w:rsidR="00B501E4">
        <w:rPr>
          <w:rtl/>
        </w:rPr>
        <w:t xml:space="preserve"> חזרה</w:t>
      </w:r>
      <w:r w:rsidR="00B501E4">
        <w:rPr>
          <w:rFonts w:hint="cs"/>
          <w:rtl/>
        </w:rPr>
        <w:t>]</w:t>
      </w:r>
    </w:p>
    <w:p w14:paraId="4E257EE0" w14:textId="77777777" w:rsidR="00FB26A9" w:rsidRDefault="00FB26A9" w:rsidP="005F53AC">
      <w:pPr>
        <w:spacing w:after="120"/>
        <w:jc w:val="both"/>
        <w:rPr>
          <w:rtl/>
        </w:rPr>
      </w:pPr>
    </w:p>
    <w:p w14:paraId="5416866F" w14:textId="1553E283" w:rsidR="00FB26A9" w:rsidRDefault="00D671CD" w:rsidP="005F53AC">
      <w:pPr>
        <w:spacing w:after="120"/>
        <w:jc w:val="both"/>
      </w:pPr>
      <w:r>
        <w:rPr>
          <w:rFonts w:hint="cs"/>
          <w:rtl/>
        </w:rPr>
        <w:t xml:space="preserve">האם מועד לבהמה הוי מועד לאדם? </w:t>
      </w:r>
    </w:p>
    <w:p w14:paraId="704F3AD8" w14:textId="77777777" w:rsidR="00FB26A9" w:rsidRDefault="00B501E4" w:rsidP="005F53AC">
      <w:pPr>
        <w:spacing w:after="120"/>
        <w:jc w:val="both"/>
      </w:pPr>
      <w:r>
        <w:rPr>
          <w:rFonts w:hint="cs"/>
          <w:rtl/>
        </w:rPr>
        <w:t xml:space="preserve">גמ' </w:t>
      </w:r>
      <w:proofErr w:type="spellStart"/>
      <w:r>
        <w:rPr>
          <w:rFonts w:hint="cs"/>
          <w:rtl/>
        </w:rPr>
        <w:t>מ</w:t>
      </w:r>
      <w:r w:rsidR="008D3569">
        <w:rPr>
          <w:rFonts w:hint="cs"/>
          <w:rtl/>
        </w:rPr>
        <w:t>א</w:t>
      </w:r>
      <w:proofErr w:type="spellEnd"/>
      <w:r>
        <w:rPr>
          <w:rFonts w:hint="cs"/>
          <w:rtl/>
        </w:rPr>
        <w:t xml:space="preserve">. "וכי מאחר </w:t>
      </w:r>
      <w:proofErr w:type="spellStart"/>
      <w:r>
        <w:rPr>
          <w:rFonts w:hint="cs"/>
          <w:rtl/>
        </w:rPr>
        <w:t>דמתם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קטלינן</w:t>
      </w:r>
      <w:proofErr w:type="spellEnd"/>
      <w:r>
        <w:rPr>
          <w:rFonts w:hint="cs"/>
          <w:rtl/>
        </w:rPr>
        <w:t xml:space="preserve"> ליה ... אלא אמר רב שימי", תוס' 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 xml:space="preserve">. ד"ה רב </w:t>
      </w:r>
      <w:proofErr w:type="spellStart"/>
      <w:r>
        <w:rPr>
          <w:rFonts w:hint="cs"/>
          <w:rtl/>
        </w:rPr>
        <w:t>זביד</w:t>
      </w:r>
      <w:proofErr w:type="spellEnd"/>
    </w:p>
    <w:p w14:paraId="39A27100" w14:textId="156BBF25" w:rsidR="00FB26A9" w:rsidRDefault="00B501E4" w:rsidP="006D1124">
      <w:pPr>
        <w:spacing w:after="120"/>
        <w:jc w:val="both"/>
        <w:rPr>
          <w:rtl/>
        </w:rPr>
      </w:pPr>
      <w:r>
        <w:rPr>
          <w:rFonts w:hint="cs"/>
          <w:rtl/>
        </w:rPr>
        <w:t>רמב"ם נזקי ממון</w:t>
      </w:r>
      <w:r w:rsidR="008D3569">
        <w:rPr>
          <w:rFonts w:hint="cs"/>
          <w:rtl/>
        </w:rPr>
        <w:t xml:space="preserve"> ו:ח, רמב"ם שם</w:t>
      </w:r>
      <w:r>
        <w:rPr>
          <w:rFonts w:hint="cs"/>
          <w:rtl/>
        </w:rPr>
        <w:t xml:space="preserve"> י:ג, </w:t>
      </w:r>
      <w:r w:rsidR="00FB26A9">
        <w:rPr>
          <w:rFonts w:hint="cs"/>
          <w:rtl/>
        </w:rPr>
        <w:t xml:space="preserve">מ"מ </w:t>
      </w:r>
      <w:proofErr w:type="spellStart"/>
      <w:r w:rsidR="00FB26A9">
        <w:rPr>
          <w:rFonts w:hint="cs"/>
          <w:rtl/>
        </w:rPr>
        <w:t>וכ"מ</w:t>
      </w:r>
      <w:proofErr w:type="spellEnd"/>
      <w:r w:rsidR="00FB26A9">
        <w:rPr>
          <w:rFonts w:hint="cs"/>
          <w:rtl/>
        </w:rPr>
        <w:t xml:space="preserve"> שם ד"ה או שהרג שלש בהמות</w:t>
      </w:r>
      <w:r w:rsidR="006D1124">
        <w:rPr>
          <w:rFonts w:hint="cs"/>
          <w:rtl/>
        </w:rPr>
        <w:t xml:space="preserve">, </w:t>
      </w:r>
      <w:r w:rsidR="00FB26A9">
        <w:rPr>
          <w:rFonts w:hint="cs"/>
          <w:rtl/>
        </w:rPr>
        <w:t xml:space="preserve">[מאירי </w:t>
      </w:r>
      <w:proofErr w:type="spellStart"/>
      <w:r w:rsidR="00FB26A9">
        <w:rPr>
          <w:rFonts w:hint="cs"/>
          <w:rtl/>
        </w:rPr>
        <w:t>מא</w:t>
      </w:r>
      <w:proofErr w:type="spellEnd"/>
      <w:r w:rsidR="00FB26A9">
        <w:rPr>
          <w:rFonts w:hint="cs"/>
          <w:rtl/>
        </w:rPr>
        <w:t>. ד"ה גדולי המחברים</w:t>
      </w:r>
      <w:r w:rsidR="00044B9D">
        <w:rPr>
          <w:rFonts w:hint="cs"/>
          <w:rtl/>
        </w:rPr>
        <w:t>]</w:t>
      </w:r>
    </w:p>
    <w:p w14:paraId="6EE1C768" w14:textId="58DFA35A" w:rsidR="00044B9D" w:rsidRDefault="00660ACD" w:rsidP="0085289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רשב"א </w:t>
      </w:r>
      <w:proofErr w:type="spellStart"/>
      <w:r>
        <w:rPr>
          <w:rFonts w:hint="cs"/>
          <w:rtl/>
        </w:rPr>
        <w:t>מא</w:t>
      </w:r>
      <w:proofErr w:type="spellEnd"/>
      <w:r>
        <w:rPr>
          <w:rFonts w:hint="cs"/>
          <w:rtl/>
        </w:rPr>
        <w:t xml:space="preserve">. ד"ה </w:t>
      </w:r>
      <w:proofErr w:type="spellStart"/>
      <w:r>
        <w:rPr>
          <w:rFonts w:hint="cs"/>
          <w:rtl/>
        </w:rPr>
        <w:t>במכירין</w:t>
      </w:r>
      <w:proofErr w:type="spellEnd"/>
      <w:r>
        <w:rPr>
          <w:rFonts w:hint="cs"/>
          <w:rtl/>
        </w:rPr>
        <w:t xml:space="preserve"> את בעל השור, [ראב"ד שם </w:t>
      </w:r>
      <w:proofErr w:type="spellStart"/>
      <w:r>
        <w:rPr>
          <w:rFonts w:hint="cs"/>
          <w:rtl/>
        </w:rPr>
        <w:t>סוד"ה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 xml:space="preserve"> אמר]</w:t>
      </w:r>
      <w:r w:rsidR="006D1124">
        <w:rPr>
          <w:rFonts w:hint="cs"/>
          <w:rtl/>
        </w:rPr>
        <w:t xml:space="preserve">.  האם הרמב"ם סובר </w:t>
      </w:r>
      <w:proofErr w:type="spellStart"/>
      <w:r w:rsidR="006D1124">
        <w:rPr>
          <w:rFonts w:hint="cs"/>
          <w:rtl/>
        </w:rPr>
        <w:t>כהרשב"א</w:t>
      </w:r>
      <w:proofErr w:type="spellEnd"/>
      <w:r w:rsidR="006D1124">
        <w:rPr>
          <w:rFonts w:hint="cs"/>
          <w:rtl/>
        </w:rPr>
        <w:t xml:space="preserve"> בזה? [עי' מאירי </w:t>
      </w:r>
      <w:proofErr w:type="spellStart"/>
      <w:r w:rsidR="006D1124">
        <w:rPr>
          <w:rFonts w:hint="cs"/>
          <w:rtl/>
        </w:rPr>
        <w:t>מא</w:t>
      </w:r>
      <w:proofErr w:type="spellEnd"/>
      <w:r w:rsidR="006D1124">
        <w:rPr>
          <w:rFonts w:hint="cs"/>
          <w:rtl/>
        </w:rPr>
        <w:t>. ד"ה גדולי המחברים, כסף משנה י:ג ד"ה וכן אם הכירו העדים]</w:t>
      </w:r>
    </w:p>
    <w:p w14:paraId="501A3E51" w14:textId="41BAD47B" w:rsidR="006D1124" w:rsidRDefault="006D1124" w:rsidP="005F53AC">
      <w:pPr>
        <w:spacing w:after="120"/>
        <w:jc w:val="both"/>
        <w:rPr>
          <w:rtl/>
        </w:rPr>
      </w:pPr>
      <w:r>
        <w:rPr>
          <w:rFonts w:hint="cs"/>
          <w:rtl/>
        </w:rPr>
        <w:t>האם יש קשר בין שתי שיטות אלו של הרמב"ם?</w:t>
      </w:r>
    </w:p>
    <w:p w14:paraId="3776410F" w14:textId="343B6B11" w:rsidR="000B20CE" w:rsidRDefault="000B20CE" w:rsidP="005F53AC">
      <w:pPr>
        <w:spacing w:after="120"/>
        <w:jc w:val="both"/>
        <w:rPr>
          <w:rtl/>
        </w:rPr>
      </w:pPr>
      <w:r>
        <w:rPr>
          <w:rFonts w:hint="cs"/>
          <w:rtl/>
        </w:rPr>
        <w:t>עיין גמ' מד:</w:t>
      </w:r>
      <w:r>
        <w:rPr>
          <w:rFonts w:hint="cs"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והנזקין</w:t>
      </w:r>
      <w:proofErr w:type="spellEnd"/>
      <w:r>
        <w:rPr>
          <w:rFonts w:hint="cs"/>
          <w:rtl/>
        </w:rPr>
        <w:t xml:space="preserve"> שלא בכוונה ... </w:t>
      </w:r>
      <w:proofErr w:type="spellStart"/>
      <w:r>
        <w:rPr>
          <w:rFonts w:hint="cs"/>
          <w:rtl/>
        </w:rPr>
        <w:t>דחיוביה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דבעלים</w:t>
      </w:r>
      <w:proofErr w:type="spellEnd"/>
      <w:r>
        <w:rPr>
          <w:rFonts w:hint="cs"/>
          <w:rtl/>
        </w:rPr>
        <w:t xml:space="preserve"> הוא"</w:t>
      </w:r>
    </w:p>
    <w:p w14:paraId="684E0EB5" w14:textId="15972600" w:rsidR="0085289B" w:rsidRDefault="0085289B" w:rsidP="0085289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[ע"ע מלא הרועים (נדפס בש"ס </w:t>
      </w:r>
      <w:proofErr w:type="spellStart"/>
      <w:r>
        <w:rPr>
          <w:rFonts w:hint="cs"/>
          <w:rtl/>
        </w:rPr>
        <w:t>וילנא</w:t>
      </w:r>
      <w:proofErr w:type="spellEnd"/>
      <w:r>
        <w:rPr>
          <w:rFonts w:hint="cs"/>
          <w:rtl/>
        </w:rPr>
        <w:t xml:space="preserve">) דף </w:t>
      </w:r>
      <w:proofErr w:type="spellStart"/>
      <w:r>
        <w:rPr>
          <w:rFonts w:hint="cs"/>
          <w:rtl/>
        </w:rPr>
        <w:t>מא</w:t>
      </w:r>
      <w:proofErr w:type="spellEnd"/>
      <w:r>
        <w:rPr>
          <w:rFonts w:hint="cs"/>
          <w:rtl/>
        </w:rPr>
        <w:t xml:space="preserve">. על רש"י ד"ה </w:t>
      </w:r>
      <w:proofErr w:type="spellStart"/>
      <w:r>
        <w:rPr>
          <w:rFonts w:hint="cs"/>
          <w:rtl/>
        </w:rPr>
        <w:t>רבינא</w:t>
      </w:r>
      <w:proofErr w:type="spellEnd"/>
      <w:r>
        <w:rPr>
          <w:rFonts w:hint="cs"/>
          <w:rtl/>
        </w:rPr>
        <w:t xml:space="preserve"> אמר]</w:t>
      </w:r>
    </w:p>
    <w:p w14:paraId="64656EA4" w14:textId="3B8EBFF6" w:rsidR="00EA7E9B" w:rsidRDefault="00EA7E9B" w:rsidP="005F53AC">
      <w:pPr>
        <w:spacing w:after="120"/>
        <w:jc w:val="both"/>
      </w:pPr>
      <w:r>
        <w:rPr>
          <w:rFonts w:hint="cs"/>
          <w:rtl/>
        </w:rPr>
        <w:t xml:space="preserve">ועיין מאירי מה. ד"ה </w:t>
      </w:r>
      <w:r w:rsidR="005C053B">
        <w:rPr>
          <w:rFonts w:hint="cs"/>
          <w:rtl/>
        </w:rPr>
        <w:t>קצת חכמי הדורות.  האם יש קשר בין שיטת קצת חכי הדורות לשיטת הרמב"ם?</w:t>
      </w:r>
    </w:p>
    <w:p w14:paraId="504EB375" w14:textId="77777777" w:rsidR="00A21D2E" w:rsidRDefault="00A21D2E" w:rsidP="00872477">
      <w:pPr>
        <w:jc w:val="both"/>
        <w:rPr>
          <w:u w:val="single"/>
          <w:rtl/>
        </w:rPr>
      </w:pPr>
      <w:bookmarkStart w:id="0" w:name="_GoBack"/>
      <w:bookmarkEnd w:id="0"/>
    </w:p>
    <w:p w14:paraId="0E8F1CB4" w14:textId="77777777" w:rsidR="0007193B" w:rsidRPr="00E7051B" w:rsidRDefault="0007193B" w:rsidP="0007193B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 xml:space="preserve">חידושי </w:t>
      </w:r>
      <w:proofErr w:type="spellStart"/>
      <w:r>
        <w:rPr>
          <w:rFonts w:hint="cs"/>
          <w:u w:val="single"/>
          <w:rtl/>
        </w:rPr>
        <w:t>הראב"ד</w:t>
      </w:r>
      <w:proofErr w:type="spellEnd"/>
      <w:r>
        <w:rPr>
          <w:rFonts w:hint="cs"/>
          <w:u w:val="single"/>
          <w:rtl/>
        </w:rPr>
        <w:t xml:space="preserve"> </w:t>
      </w:r>
      <w:r w:rsidRPr="00E7051B">
        <w:rPr>
          <w:u w:val="single"/>
          <w:rtl/>
        </w:rPr>
        <w:t xml:space="preserve">מסכת בבא קמא דף ב עמוד ב </w:t>
      </w:r>
    </w:p>
    <w:p w14:paraId="234CD5B9" w14:textId="77777777" w:rsidR="0007193B" w:rsidRDefault="0007193B" w:rsidP="0007193B">
      <w:pPr>
        <w:jc w:val="both"/>
      </w:pPr>
      <w:r>
        <w:rPr>
          <w:rtl/>
        </w:rPr>
        <w:t xml:space="preserve">פתח </w:t>
      </w:r>
      <w:proofErr w:type="spellStart"/>
      <w:r>
        <w:rPr>
          <w:rtl/>
        </w:rPr>
        <w:t>חכתו</w:t>
      </w:r>
      <w:r>
        <w:rPr>
          <w:rFonts w:hint="cs"/>
          <w:rtl/>
        </w:rPr>
        <w:t>ב</w:t>
      </w:r>
      <w:proofErr w:type="spellEnd"/>
      <w:r>
        <w:rPr>
          <w:rtl/>
        </w:rPr>
        <w:t xml:space="preserve"> בנגיפ</w:t>
      </w:r>
      <w:r>
        <w:rPr>
          <w:rFonts w:hint="cs"/>
          <w:rtl/>
        </w:rPr>
        <w:t>ה</w:t>
      </w:r>
      <w:r>
        <w:rPr>
          <w:rtl/>
        </w:rPr>
        <w:t xml:space="preserve"> וסיים בנגיחה </w:t>
      </w:r>
      <w:proofErr w:type="spellStart"/>
      <w:r>
        <w:rPr>
          <w:rtl/>
        </w:rPr>
        <w:t>וכו</w:t>
      </w:r>
      <w:proofErr w:type="spellEnd"/>
      <w:r>
        <w:rPr>
          <w:rFonts w:hint="cs"/>
          <w:rtl/>
        </w:rPr>
        <w:t>'</w:t>
      </w:r>
      <w:r>
        <w:rPr>
          <w:rtl/>
        </w:rPr>
        <w:t xml:space="preserve">, כתב כי </w:t>
      </w:r>
      <w:proofErr w:type="spellStart"/>
      <w:r>
        <w:rPr>
          <w:rtl/>
        </w:rPr>
        <w:t>יגף</w:t>
      </w:r>
      <w:proofErr w:type="spellEnd"/>
      <w:r>
        <w:rPr>
          <w:rtl/>
        </w:rPr>
        <w:t xml:space="preserve"> שור איש את</w:t>
      </w:r>
      <w:r>
        <w:rPr>
          <w:rFonts w:hint="cs"/>
          <w:rtl/>
        </w:rPr>
        <w:t xml:space="preserve"> </w:t>
      </w:r>
      <w:r>
        <w:rPr>
          <w:rtl/>
        </w:rPr>
        <w:t>שור רע</w:t>
      </w:r>
      <w:r>
        <w:rPr>
          <w:rFonts w:hint="cs"/>
          <w:rtl/>
        </w:rPr>
        <w:t>הו</w:t>
      </w:r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Fonts w:hint="cs"/>
          <w:rtl/>
        </w:rPr>
        <w:t>'</w:t>
      </w:r>
      <w:r>
        <w:rPr>
          <w:rtl/>
        </w:rPr>
        <w:t>, ו</w:t>
      </w:r>
      <w:r>
        <w:rPr>
          <w:rFonts w:hint="cs"/>
          <w:rtl/>
        </w:rPr>
        <w:t>בס</w:t>
      </w:r>
      <w:r>
        <w:rPr>
          <w:rtl/>
        </w:rPr>
        <w:t xml:space="preserve">וף כתב או נודע כי שור </w:t>
      </w:r>
      <w:r>
        <w:rPr>
          <w:rFonts w:hint="cs"/>
          <w:rtl/>
        </w:rPr>
        <w:t>נגח</w:t>
      </w:r>
      <w:r>
        <w:rPr>
          <w:rtl/>
        </w:rPr>
        <w:t xml:space="preserve"> הוא וכו</w:t>
      </w:r>
      <w:r>
        <w:rPr>
          <w:rFonts w:hint="cs"/>
          <w:rtl/>
        </w:rPr>
        <w:t>'</w:t>
      </w:r>
      <w:r>
        <w:rPr>
          <w:rtl/>
        </w:rPr>
        <w:t xml:space="preserve"> לו</w:t>
      </w:r>
      <w:r>
        <w:rPr>
          <w:rFonts w:hint="cs"/>
          <w:rtl/>
        </w:rPr>
        <w:t>מ</w:t>
      </w:r>
      <w:r>
        <w:rPr>
          <w:rtl/>
        </w:rPr>
        <w:t>ר לך זו</w:t>
      </w:r>
      <w:r>
        <w:rPr>
          <w:rFonts w:hint="cs"/>
          <w:rtl/>
        </w:rPr>
        <w:t xml:space="preserve"> </w:t>
      </w:r>
      <w:r>
        <w:rPr>
          <w:rtl/>
        </w:rPr>
        <w:t>היא נניפה זו היא נגיחה. כלו</w:t>
      </w:r>
      <w:r>
        <w:rPr>
          <w:rFonts w:hint="cs"/>
          <w:rtl/>
        </w:rPr>
        <w:t>מ</w:t>
      </w:r>
      <w:r>
        <w:rPr>
          <w:rtl/>
        </w:rPr>
        <w:t>ר שהיא בקרן ולא בהכאת הראש. ול</w:t>
      </w:r>
      <w:r>
        <w:rPr>
          <w:rFonts w:hint="cs"/>
          <w:rtl/>
        </w:rPr>
        <w:t>מ</w:t>
      </w:r>
      <w:r>
        <w:rPr>
          <w:rtl/>
        </w:rPr>
        <w:t>ח</w:t>
      </w:r>
      <w:r>
        <w:rPr>
          <w:rFonts w:hint="cs"/>
          <w:rtl/>
        </w:rPr>
        <w:t xml:space="preserve"> קרא</w:t>
      </w:r>
      <w:r>
        <w:rPr>
          <w:rtl/>
        </w:rPr>
        <w:t xml:space="preserve"> אותה נגיפה מה שלא עשה כן באדם. אלא ללמד ששתי הלשונות</w:t>
      </w:r>
      <w:r>
        <w:rPr>
          <w:rFonts w:hint="cs"/>
          <w:rtl/>
        </w:rPr>
        <w:t xml:space="preserve"> </w:t>
      </w:r>
      <w:r>
        <w:rPr>
          <w:rtl/>
        </w:rPr>
        <w:t>נופלות על הקרן כמו שיש רבים במקראות שני שמות בדבר א</w:t>
      </w:r>
      <w:r>
        <w:rPr>
          <w:rFonts w:hint="cs"/>
          <w:rtl/>
        </w:rPr>
        <w:t>ח</w:t>
      </w:r>
      <w:r>
        <w:rPr>
          <w:rtl/>
        </w:rPr>
        <w:t>ד א״כ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יכתב</w:t>
      </w:r>
      <w:proofErr w:type="spellEnd"/>
      <w:r>
        <w:rPr>
          <w:rtl/>
        </w:rPr>
        <w:t xml:space="preserve"> אותם באדם שהוא ת</w:t>
      </w:r>
      <w:r>
        <w:rPr>
          <w:rFonts w:hint="cs"/>
          <w:rtl/>
        </w:rPr>
        <w:t>ח</w:t>
      </w:r>
      <w:r>
        <w:rPr>
          <w:rtl/>
        </w:rPr>
        <w:t xml:space="preserve">לה. ותרץ לא כי אם </w:t>
      </w:r>
      <w:proofErr w:type="spellStart"/>
      <w:r>
        <w:rPr>
          <w:rtl/>
        </w:rPr>
        <w:t>לצרך</w:t>
      </w:r>
      <w:proofErr w:type="spellEnd"/>
      <w:r>
        <w:rPr>
          <w:rtl/>
        </w:rPr>
        <w:t xml:space="preserve"> למוד א</w:t>
      </w:r>
      <w:r>
        <w:rPr>
          <w:rFonts w:hint="cs"/>
          <w:rtl/>
        </w:rPr>
        <w:t>חר</w:t>
      </w:r>
      <w:r>
        <w:rPr>
          <w:rtl/>
        </w:rPr>
        <w:t xml:space="preserve"> בא,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דאדם</w:t>
      </w:r>
      <w:proofErr w:type="spellEnd"/>
      <w:r>
        <w:rPr>
          <w:rtl/>
        </w:rPr>
        <w:t xml:space="preserve"> דאית ליה </w:t>
      </w:r>
      <w:proofErr w:type="spellStart"/>
      <w:r>
        <w:rPr>
          <w:rtl/>
        </w:rPr>
        <w:t>מזלא</w:t>
      </w:r>
      <w:proofErr w:type="spellEnd"/>
      <w:r>
        <w:rPr>
          <w:rtl/>
        </w:rPr>
        <w:t xml:space="preserve"> וקשי בעי</w:t>
      </w:r>
      <w:r>
        <w:rPr>
          <w:rFonts w:hint="cs"/>
          <w:rtl/>
        </w:rPr>
        <w:t>נ</w:t>
      </w:r>
      <w:r>
        <w:rPr>
          <w:rtl/>
        </w:rPr>
        <w:t xml:space="preserve">י הבורא להכשילו קראו </w:t>
      </w:r>
      <w:r>
        <w:rPr>
          <w:rFonts w:hint="cs"/>
          <w:rtl/>
        </w:rPr>
        <w:t>נ</w:t>
      </w:r>
      <w:r>
        <w:rPr>
          <w:rtl/>
        </w:rPr>
        <w:t>גי</w:t>
      </w:r>
      <w:r>
        <w:rPr>
          <w:rFonts w:hint="cs"/>
          <w:rtl/>
        </w:rPr>
        <w:t>ח</w:t>
      </w:r>
      <w:r>
        <w:rPr>
          <w:rtl/>
        </w:rPr>
        <w:t>ה לשון</w:t>
      </w:r>
      <w:r>
        <w:rPr>
          <w:rFonts w:hint="cs"/>
          <w:rtl/>
        </w:rPr>
        <w:t xml:space="preserve"> </w:t>
      </w:r>
      <w:r>
        <w:rPr>
          <w:rtl/>
        </w:rPr>
        <w:t xml:space="preserve">מלחמה </w:t>
      </w:r>
      <w:proofErr w:type="spellStart"/>
      <w:r>
        <w:rPr>
          <w:rtl/>
        </w:rPr>
        <w:t>כדמתרגמנא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r>
        <w:rPr>
          <w:rFonts w:hint="cs"/>
          <w:rtl/>
        </w:rPr>
        <w:t>נ</w:t>
      </w:r>
      <w:r>
        <w:rPr>
          <w:rtl/>
        </w:rPr>
        <w:t>גחא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קרבא</w:t>
      </w:r>
      <w:proofErr w:type="spellEnd"/>
      <w:r>
        <w:rPr>
          <w:rtl/>
        </w:rPr>
        <w:t xml:space="preserve">. בהמה דלית ליה </w:t>
      </w:r>
      <w:proofErr w:type="spellStart"/>
      <w:r>
        <w:rPr>
          <w:rtl/>
        </w:rPr>
        <w:t>מזלא</w:t>
      </w:r>
      <w:proofErr w:type="spellEnd"/>
      <w:r>
        <w:rPr>
          <w:rtl/>
        </w:rPr>
        <w:t xml:space="preserve"> קראה לשון</w:t>
      </w:r>
      <w:r>
        <w:rPr>
          <w:rFonts w:hint="cs"/>
          <w:rtl/>
        </w:rPr>
        <w:t xml:space="preserve"> </w:t>
      </w:r>
      <w:r>
        <w:rPr>
          <w:rtl/>
        </w:rPr>
        <w:t xml:space="preserve">מגפה, ונפקא מינה למועד לאדם הוי מועד לבהמה, </w:t>
      </w:r>
      <w:proofErr w:type="spellStart"/>
      <w:r>
        <w:rPr>
          <w:rtl/>
        </w:rPr>
        <w:t>ודלא</w:t>
      </w:r>
      <w:proofErr w:type="spellEnd"/>
      <w:r>
        <w:rPr>
          <w:rtl/>
        </w:rPr>
        <w:t xml:space="preserve"> כרב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>, ואפילו</w:t>
      </w:r>
      <w:r>
        <w:rPr>
          <w:rFonts w:hint="cs"/>
          <w:rtl/>
        </w:rPr>
        <w:t xml:space="preserve"> </w:t>
      </w:r>
      <w:r>
        <w:rPr>
          <w:rtl/>
        </w:rPr>
        <w:t>ה</w:t>
      </w:r>
      <w:r>
        <w:rPr>
          <w:rFonts w:hint="cs"/>
          <w:rtl/>
        </w:rPr>
        <w:t>כ</w:t>
      </w:r>
      <w:r>
        <w:rPr>
          <w:rtl/>
        </w:rPr>
        <w:t xml:space="preserve">י הלכתא </w:t>
      </w:r>
      <w:proofErr w:type="spellStart"/>
      <w:r>
        <w:rPr>
          <w:rtl/>
        </w:rPr>
        <w:t>כותיה</w:t>
      </w:r>
      <w:proofErr w:type="spellEnd"/>
      <w:r>
        <w:rPr>
          <w:rtl/>
        </w:rPr>
        <w:t xml:space="preserve"> וכו</w:t>
      </w:r>
      <w:r>
        <w:rPr>
          <w:rFonts w:hint="cs"/>
          <w:rtl/>
        </w:rPr>
        <w:t>'</w:t>
      </w:r>
    </w:p>
    <w:p w14:paraId="4AB7F717" w14:textId="77777777" w:rsidR="0007193B" w:rsidRDefault="0007193B" w:rsidP="0007193B">
      <w:pPr>
        <w:jc w:val="both"/>
        <w:rPr>
          <w:u w:val="single"/>
          <w:rtl/>
        </w:rPr>
      </w:pPr>
    </w:p>
    <w:p w14:paraId="7294B44A" w14:textId="3123EFEC" w:rsidR="0007193B" w:rsidRPr="004D7E03" w:rsidRDefault="0007193B" w:rsidP="0007193B">
      <w:pPr>
        <w:jc w:val="both"/>
        <w:rPr>
          <w:u w:val="single"/>
          <w:rtl/>
        </w:rPr>
      </w:pPr>
      <w:r w:rsidRPr="004D7E03">
        <w:rPr>
          <w:u w:val="single"/>
          <w:rtl/>
        </w:rPr>
        <w:t xml:space="preserve">פסקי רי"ד מסכת בבא קמא גמרא דף </w:t>
      </w:r>
      <w:proofErr w:type="spellStart"/>
      <w:r w:rsidRPr="004D7E03">
        <w:rPr>
          <w:u w:val="single"/>
          <w:rtl/>
        </w:rPr>
        <w:t>לז</w:t>
      </w:r>
      <w:proofErr w:type="spellEnd"/>
      <w:r w:rsidRPr="004D7E03">
        <w:rPr>
          <w:u w:val="single"/>
          <w:rtl/>
        </w:rPr>
        <w:t xml:space="preserve"> עמוד א </w:t>
      </w:r>
    </w:p>
    <w:p w14:paraId="6722E8A1" w14:textId="3F14552D" w:rsidR="00203C4B" w:rsidRDefault="0007193B" w:rsidP="0085289B">
      <w:pPr>
        <w:jc w:val="both"/>
        <w:rPr>
          <w:rtl/>
        </w:rPr>
      </w:pPr>
      <w:r>
        <w:rPr>
          <w:rtl/>
        </w:rPr>
        <w:t xml:space="preserve">מתני'. שור שהוא מועד למינו כול'. איתמר רב </w:t>
      </w:r>
      <w:proofErr w:type="spellStart"/>
      <w:r>
        <w:rPr>
          <w:rtl/>
        </w:rPr>
        <w:t>זביד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ואינו מועד תנן, 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אינו מועד תנן, רב </w:t>
      </w:r>
      <w:proofErr w:type="spellStart"/>
      <w:r>
        <w:rPr>
          <w:rtl/>
        </w:rPr>
        <w:t>זביד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ואינו מועד תנן הא סתמיה הוי מועד, 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סתמיה לא הוי מועד אינו מועד תנן. </w:t>
      </w:r>
      <w:proofErr w:type="spellStart"/>
      <w:r>
        <w:rPr>
          <w:rtl/>
        </w:rPr>
        <w:t>ואסיקנא</w:t>
      </w:r>
      <w:proofErr w:type="spellEnd"/>
      <w:r>
        <w:rPr>
          <w:rtl/>
        </w:rPr>
        <w:t xml:space="preserve">, אם </w:t>
      </w:r>
      <w:proofErr w:type="spellStart"/>
      <w:r>
        <w:rPr>
          <w:rtl/>
        </w:rPr>
        <w:t>תימצי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איתה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לדרב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נגח שור חמור וגמל נעשה מועד לכל, </w:t>
      </w:r>
      <w:proofErr w:type="spellStart"/>
      <w:r>
        <w:rPr>
          <w:rtl/>
        </w:rPr>
        <w:t>וקימ</w:t>
      </w:r>
      <w:proofErr w:type="spellEnd"/>
      <w:r>
        <w:rPr>
          <w:rtl/>
        </w:rPr>
        <w:t xml:space="preserve">' לן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אם </w:t>
      </w:r>
      <w:proofErr w:type="spellStart"/>
      <w:r>
        <w:rPr>
          <w:rtl/>
        </w:rPr>
        <w:t>תימצי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</w:t>
      </w:r>
      <w:proofErr w:type="spellEnd"/>
      <w:r>
        <w:rPr>
          <w:rtl/>
        </w:rPr>
        <w:t xml:space="preserve">' הלכה, וכיון </w:t>
      </w:r>
      <w:proofErr w:type="spellStart"/>
      <w:r>
        <w:rPr>
          <w:rtl/>
        </w:rPr>
        <w:t>דקימ</w:t>
      </w:r>
      <w:proofErr w:type="spellEnd"/>
      <w:r>
        <w:rPr>
          <w:rtl/>
        </w:rPr>
        <w:t xml:space="preserve">' לן כרב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</w:t>
      </w:r>
      <w:proofErr w:type="spellEnd"/>
      <w:r>
        <w:rPr>
          <w:rtl/>
        </w:rPr>
        <w:t xml:space="preserve">' אינו מועד </w:t>
      </w:r>
      <w:proofErr w:type="spellStart"/>
      <w:r>
        <w:rPr>
          <w:rtl/>
        </w:rPr>
        <w:t>סתמ</w:t>
      </w:r>
      <w:proofErr w:type="spellEnd"/>
      <w:r>
        <w:rPr>
          <w:rtl/>
        </w:rPr>
        <w:t xml:space="preserve">' לא הוי מועד, אפילו מועד לאדם לא הוי מועד לבהמה. ואי קשיא והא אמרן בריש </w:t>
      </w:r>
      <w:proofErr w:type="spellStart"/>
      <w:r>
        <w:rPr>
          <w:rtl/>
        </w:rPr>
        <w:t>מסכתין</w:t>
      </w:r>
      <w:proofErr w:type="spellEnd"/>
      <w:r>
        <w:rPr>
          <w:rtl/>
        </w:rPr>
        <w:t xml:space="preserve"> ואגב אורחיה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 מועד לאדם הוי מועד לבהמה, מועד לבהמה לא הוי מועד לאדם, יש </w:t>
      </w:r>
      <w:proofErr w:type="spellStart"/>
      <w:r>
        <w:rPr>
          <w:rtl/>
        </w:rPr>
        <w:t>לומ</w:t>
      </w:r>
      <w:proofErr w:type="spellEnd"/>
      <w:r>
        <w:rPr>
          <w:rtl/>
        </w:rPr>
        <w:t xml:space="preserve">' ההוא לא אתי אלא אליבא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זביד</w:t>
      </w:r>
      <w:proofErr w:type="spellEnd"/>
      <w:r>
        <w:rPr>
          <w:rtl/>
        </w:rPr>
        <w:t xml:space="preserve"> אבל רב </w:t>
      </w:r>
      <w:proofErr w:type="spellStart"/>
      <w:r>
        <w:rPr>
          <w:rtl/>
        </w:rPr>
        <w:t>פפ</w:t>
      </w:r>
      <w:proofErr w:type="spellEnd"/>
      <w:r>
        <w:rPr>
          <w:rtl/>
        </w:rPr>
        <w:t xml:space="preserve">' לא </w:t>
      </w:r>
      <w:proofErr w:type="spellStart"/>
      <w:r>
        <w:rPr>
          <w:rtl/>
        </w:rPr>
        <w:t>סבירא</w:t>
      </w:r>
      <w:proofErr w:type="spellEnd"/>
      <w:r>
        <w:rPr>
          <w:rtl/>
        </w:rPr>
        <w:t xml:space="preserve"> ליה הכי. אי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יש </w:t>
      </w:r>
      <w:proofErr w:type="spellStart"/>
      <w:r>
        <w:rPr>
          <w:rtl/>
        </w:rPr>
        <w:t>לומ</w:t>
      </w:r>
      <w:proofErr w:type="spellEnd"/>
      <w:r>
        <w:rPr>
          <w:rtl/>
        </w:rPr>
        <w:t>' [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] גבי מיתה אמרי' מועד לאדם הוי מועד לבהמה, </w:t>
      </w:r>
      <w:proofErr w:type="spellStart"/>
      <w:r>
        <w:rPr>
          <w:rtl/>
        </w:rPr>
        <w:t>דקראי</w:t>
      </w:r>
      <w:proofErr w:type="spellEnd"/>
      <w:r>
        <w:rPr>
          <w:rtl/>
        </w:rPr>
        <w:t xml:space="preserve"> במיתה הוא </w:t>
      </w:r>
      <w:proofErr w:type="spellStart"/>
      <w:r>
        <w:rPr>
          <w:rtl/>
        </w:rPr>
        <w:t>דמיירי</w:t>
      </w:r>
      <w:proofErr w:type="spellEnd"/>
      <w:r>
        <w:rPr>
          <w:rtl/>
        </w:rPr>
        <w:t xml:space="preserve"> וגבי מיתה הוא </w:t>
      </w:r>
      <w:proofErr w:type="spellStart"/>
      <w:r>
        <w:rPr>
          <w:rtl/>
        </w:rPr>
        <w:t>דעדיף</w:t>
      </w:r>
      <w:proofErr w:type="spellEnd"/>
      <w:r>
        <w:rPr>
          <w:rtl/>
        </w:rPr>
        <w:t xml:space="preserve"> אדם מבהמה, אבל </w:t>
      </w:r>
      <w:proofErr w:type="spellStart"/>
      <w:r>
        <w:rPr>
          <w:rtl/>
        </w:rPr>
        <w:t>לנזקין</w:t>
      </w:r>
      <w:proofErr w:type="spellEnd"/>
      <w:r>
        <w:rPr>
          <w:rtl/>
        </w:rPr>
        <w:t xml:space="preserve"> כולן </w:t>
      </w:r>
      <w:proofErr w:type="spellStart"/>
      <w:r>
        <w:rPr>
          <w:rtl/>
        </w:rPr>
        <w:t>שוין</w:t>
      </w:r>
      <w:proofErr w:type="spellEnd"/>
      <w:r>
        <w:rPr>
          <w:rtl/>
        </w:rPr>
        <w:t xml:space="preserve"> ומועד לאדם לא הוי מועד לבהמה.</w:t>
      </w:r>
    </w:p>
    <w:sectPr w:rsidR="00203C4B" w:rsidSect="0085289B">
      <w:type w:val="continuous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F1DB" w14:textId="77777777" w:rsidR="003F3B12" w:rsidRDefault="003F3B12">
      <w:r>
        <w:separator/>
      </w:r>
    </w:p>
  </w:endnote>
  <w:endnote w:type="continuationSeparator" w:id="0">
    <w:p w14:paraId="59F49502" w14:textId="77777777" w:rsidR="003F3B12" w:rsidRDefault="003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6A5E" w14:textId="77777777" w:rsidR="003F3B12" w:rsidRDefault="003F3B12">
      <w:r>
        <w:separator/>
      </w:r>
    </w:p>
  </w:footnote>
  <w:footnote w:type="continuationSeparator" w:id="0">
    <w:p w14:paraId="71631015" w14:textId="77777777" w:rsidR="003F3B12" w:rsidRDefault="003F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617E"/>
    <w:rsid w:val="000C7032"/>
    <w:rsid w:val="000C7586"/>
    <w:rsid w:val="000C778C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963"/>
    <w:rsid w:val="001B04EB"/>
    <w:rsid w:val="001B141A"/>
    <w:rsid w:val="001B148B"/>
    <w:rsid w:val="001B1662"/>
    <w:rsid w:val="001B16AE"/>
    <w:rsid w:val="001B1E5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E17"/>
    <w:rsid w:val="001C3F8F"/>
    <w:rsid w:val="001C4881"/>
    <w:rsid w:val="001C4D13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305"/>
    <w:rsid w:val="001E0412"/>
    <w:rsid w:val="001E059D"/>
    <w:rsid w:val="001E1688"/>
    <w:rsid w:val="001E2681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2D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07D29"/>
    <w:rsid w:val="00310792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5FBE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BD3"/>
    <w:rsid w:val="003B5DD3"/>
    <w:rsid w:val="003B6519"/>
    <w:rsid w:val="003B6609"/>
    <w:rsid w:val="003B6677"/>
    <w:rsid w:val="003B6A4E"/>
    <w:rsid w:val="003B7426"/>
    <w:rsid w:val="003B743C"/>
    <w:rsid w:val="003B7B45"/>
    <w:rsid w:val="003B7C0D"/>
    <w:rsid w:val="003B7DA8"/>
    <w:rsid w:val="003C1211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3B12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6B5"/>
    <w:rsid w:val="004843CC"/>
    <w:rsid w:val="004843D3"/>
    <w:rsid w:val="004856C8"/>
    <w:rsid w:val="00485A2A"/>
    <w:rsid w:val="00485B45"/>
    <w:rsid w:val="00486AD7"/>
    <w:rsid w:val="00486F98"/>
    <w:rsid w:val="00487019"/>
    <w:rsid w:val="00487431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4642"/>
    <w:rsid w:val="004A57B8"/>
    <w:rsid w:val="004A5DB1"/>
    <w:rsid w:val="004A6247"/>
    <w:rsid w:val="004A733F"/>
    <w:rsid w:val="004A767D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D7E03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467F"/>
    <w:rsid w:val="0050478C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0EEA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257"/>
    <w:rsid w:val="005B583E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F19"/>
    <w:rsid w:val="005C634D"/>
    <w:rsid w:val="005C67CC"/>
    <w:rsid w:val="005C682F"/>
    <w:rsid w:val="005D0863"/>
    <w:rsid w:val="005D0CC4"/>
    <w:rsid w:val="005D1AB1"/>
    <w:rsid w:val="005D1B32"/>
    <w:rsid w:val="005D211D"/>
    <w:rsid w:val="005D2B4A"/>
    <w:rsid w:val="005D3BF3"/>
    <w:rsid w:val="005D6047"/>
    <w:rsid w:val="005D6121"/>
    <w:rsid w:val="005D6B9B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939"/>
    <w:rsid w:val="006C6A91"/>
    <w:rsid w:val="006C6FA1"/>
    <w:rsid w:val="006C7BCC"/>
    <w:rsid w:val="006C7DBB"/>
    <w:rsid w:val="006D0B07"/>
    <w:rsid w:val="006D1124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F9A"/>
    <w:rsid w:val="00704FBF"/>
    <w:rsid w:val="007051D0"/>
    <w:rsid w:val="007059F4"/>
    <w:rsid w:val="00705C6F"/>
    <w:rsid w:val="0070642E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D92"/>
    <w:rsid w:val="007D6F92"/>
    <w:rsid w:val="007D7344"/>
    <w:rsid w:val="007E0E59"/>
    <w:rsid w:val="007E11B5"/>
    <w:rsid w:val="007E1F9D"/>
    <w:rsid w:val="007E29F7"/>
    <w:rsid w:val="007E4B0B"/>
    <w:rsid w:val="007E5F87"/>
    <w:rsid w:val="007E73D2"/>
    <w:rsid w:val="007E74C0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F41"/>
    <w:rsid w:val="0090129C"/>
    <w:rsid w:val="009014EA"/>
    <w:rsid w:val="009015A9"/>
    <w:rsid w:val="00901B49"/>
    <w:rsid w:val="00902256"/>
    <w:rsid w:val="009028DA"/>
    <w:rsid w:val="00902E72"/>
    <w:rsid w:val="00904B0B"/>
    <w:rsid w:val="00905220"/>
    <w:rsid w:val="00906DB4"/>
    <w:rsid w:val="0091045A"/>
    <w:rsid w:val="00910BCA"/>
    <w:rsid w:val="009111F1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3F1"/>
    <w:rsid w:val="009A36B5"/>
    <w:rsid w:val="009A3736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667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D2E"/>
    <w:rsid w:val="00A222D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60ED9"/>
    <w:rsid w:val="00A61725"/>
    <w:rsid w:val="00A61778"/>
    <w:rsid w:val="00A618FA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49A0"/>
    <w:rsid w:val="00BE4F50"/>
    <w:rsid w:val="00BE52E4"/>
    <w:rsid w:val="00BE53BA"/>
    <w:rsid w:val="00BE6593"/>
    <w:rsid w:val="00BE713A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6106"/>
    <w:rsid w:val="00BF7C49"/>
    <w:rsid w:val="00C004E6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E4C"/>
    <w:rsid w:val="00C1666D"/>
    <w:rsid w:val="00C17244"/>
    <w:rsid w:val="00C2042D"/>
    <w:rsid w:val="00C20884"/>
    <w:rsid w:val="00C21510"/>
    <w:rsid w:val="00C215BA"/>
    <w:rsid w:val="00C21717"/>
    <w:rsid w:val="00C2198A"/>
    <w:rsid w:val="00C22092"/>
    <w:rsid w:val="00C235E8"/>
    <w:rsid w:val="00C23FB6"/>
    <w:rsid w:val="00C25E0A"/>
    <w:rsid w:val="00C26CB6"/>
    <w:rsid w:val="00C272B5"/>
    <w:rsid w:val="00C300FA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C6A"/>
    <w:rsid w:val="00C46D45"/>
    <w:rsid w:val="00C4778E"/>
    <w:rsid w:val="00C47C4D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508F"/>
    <w:rsid w:val="00C9711A"/>
    <w:rsid w:val="00C9744E"/>
    <w:rsid w:val="00C977ED"/>
    <w:rsid w:val="00CA03A6"/>
    <w:rsid w:val="00CA0E9C"/>
    <w:rsid w:val="00CA12B0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E7B33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6EBC"/>
    <w:rsid w:val="00D97959"/>
    <w:rsid w:val="00DA0147"/>
    <w:rsid w:val="00DA081B"/>
    <w:rsid w:val="00DA12C9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70B"/>
    <w:rsid w:val="00DF4B93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B83"/>
    <w:rsid w:val="00E711B3"/>
    <w:rsid w:val="00E715FE"/>
    <w:rsid w:val="00E71FF1"/>
    <w:rsid w:val="00E720ED"/>
    <w:rsid w:val="00E73A2C"/>
    <w:rsid w:val="00E73CDF"/>
    <w:rsid w:val="00E74DC1"/>
    <w:rsid w:val="00E7501E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126A"/>
    <w:rsid w:val="00F330A6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26A9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AF1AD53-151E-4BB1-ADEB-DA1BE286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8</cp:revision>
  <cp:lastPrinted>2018-06-17T06:00:00Z</cp:lastPrinted>
  <dcterms:created xsi:type="dcterms:W3CDTF">2018-08-24T11:59:00Z</dcterms:created>
  <dcterms:modified xsi:type="dcterms:W3CDTF">2018-08-26T04:41:00Z</dcterms:modified>
</cp:coreProperties>
</file>