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5B647F3"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43198">
        <w:rPr>
          <w:u w:val="single"/>
        </w:rPr>
        <w:t>51</w:t>
      </w:r>
    </w:p>
    <w:p w14:paraId="42A5696A" w14:textId="77777777" w:rsidR="0066445E" w:rsidRPr="000A36BE" w:rsidRDefault="0066445E" w:rsidP="00593E4E">
      <w:pPr>
        <w:spacing w:after="120"/>
        <w:jc w:val="center"/>
        <w:rPr>
          <w:u w:val="single"/>
        </w:rPr>
      </w:pPr>
    </w:p>
    <w:p w14:paraId="03FFBAB6" w14:textId="19CE0E5B" w:rsidR="00E43198" w:rsidRDefault="00DD7F7A" w:rsidP="00C0668D">
      <w:pPr>
        <w:spacing w:after="120"/>
        <w:jc w:val="both"/>
        <w:rPr>
          <w:rtl/>
        </w:rPr>
      </w:pPr>
      <w:r>
        <w:rPr>
          <w:rFonts w:hint="cs"/>
          <w:rtl/>
        </w:rPr>
        <w:t>(1)</w:t>
      </w:r>
      <w:r>
        <w:rPr>
          <w:rFonts w:hint="cs"/>
        </w:rPr>
        <w:t xml:space="preserve"> </w:t>
      </w:r>
      <w:r w:rsidR="00E43198">
        <w:rPr>
          <w:rFonts w:hint="cs"/>
          <w:rtl/>
        </w:rPr>
        <w:t>גמרא סוף דף לא. "זה אומר של אבותי" עד דף לא:</w:t>
      </w:r>
      <w:r w:rsidR="00E43198">
        <w:rPr>
          <w:rFonts w:hint="cs"/>
        </w:rPr>
        <w:t xml:space="preserve"> </w:t>
      </w:r>
      <w:r w:rsidR="00E43198">
        <w:rPr>
          <w:rFonts w:hint="cs"/>
          <w:rtl/>
        </w:rPr>
        <w:t>"אבל לאותה עדות לא", רשב"ם, תוס'</w:t>
      </w:r>
    </w:p>
    <w:p w14:paraId="1B9AD056" w14:textId="20428B19" w:rsidR="00E43198" w:rsidRDefault="00E416E0" w:rsidP="00E416E0">
      <w:pPr>
        <w:spacing w:after="120"/>
        <w:jc w:val="both"/>
        <w:rPr>
          <w:rtl/>
        </w:rPr>
      </w:pPr>
      <w:r>
        <w:rPr>
          <w:rFonts w:hint="cs"/>
          <w:rtl/>
        </w:rPr>
        <w:t xml:space="preserve">בענין תוד"ה אמר ליה </w:t>
      </w:r>
      <w:r>
        <w:rPr>
          <w:rtl/>
        </w:rPr>
        <w:t>–</w:t>
      </w:r>
      <w:r>
        <w:rPr>
          <w:rFonts w:hint="cs"/>
          <w:rtl/>
        </w:rPr>
        <w:t xml:space="preserve"> תוס' ב"ק עב: ד"ה רבא אמר, [</w:t>
      </w:r>
      <w:r>
        <w:rPr>
          <w:rtl/>
        </w:rPr>
        <w:t xml:space="preserve">רמב"ן </w:t>
      </w:r>
      <w:r>
        <w:rPr>
          <w:rFonts w:hint="cs"/>
          <w:rtl/>
        </w:rPr>
        <w:t>כאן ד"ה א</w:t>
      </w:r>
      <w:r>
        <w:rPr>
          <w:rtl/>
        </w:rPr>
        <w:t>מר ליה רבא</w:t>
      </w:r>
      <w:r w:rsidR="000D7AFE">
        <w:rPr>
          <w:rFonts w:hint="cs"/>
          <w:rtl/>
        </w:rPr>
        <w:t>]</w:t>
      </w:r>
    </w:p>
    <w:p w14:paraId="4A29E3A7" w14:textId="77B1D6E1" w:rsidR="00511DD6" w:rsidRDefault="00584CDC" w:rsidP="00836BCF">
      <w:pPr>
        <w:spacing w:after="120"/>
        <w:jc w:val="both"/>
        <w:rPr>
          <w:rtl/>
        </w:rPr>
      </w:pPr>
      <w:r>
        <w:rPr>
          <w:rFonts w:hint="cs"/>
          <w:rtl/>
        </w:rPr>
        <w:t>מה יסוד המחלוקת בין רבא לרב נחמן?</w:t>
      </w:r>
    </w:p>
    <w:p w14:paraId="7C8D689A" w14:textId="33DEFDD9" w:rsidR="00584CDC" w:rsidRDefault="006C3A9E" w:rsidP="00836BCF">
      <w:pPr>
        <w:spacing w:after="120"/>
        <w:jc w:val="both"/>
        <w:rPr>
          <w:rtl/>
        </w:rPr>
      </w:pPr>
      <w:r>
        <w:rPr>
          <w:rFonts w:hint="cs"/>
          <w:rtl/>
        </w:rPr>
        <w:t xml:space="preserve">תוס' רי"ד ד"ה </w:t>
      </w:r>
      <w:r w:rsidR="009C7F1F">
        <w:rPr>
          <w:rFonts w:hint="cs"/>
          <w:rtl/>
        </w:rPr>
        <w:t>אליבא דרב חסדא, ד"ה ורבא אמר לך</w:t>
      </w:r>
    </w:p>
    <w:p w14:paraId="0CBD376A" w14:textId="183C8809" w:rsidR="009C7F1F" w:rsidRDefault="006E5E09" w:rsidP="00836BCF">
      <w:pPr>
        <w:spacing w:after="120"/>
        <w:jc w:val="both"/>
        <w:rPr>
          <w:rtl/>
        </w:rPr>
      </w:pPr>
      <w:r>
        <w:rPr>
          <w:rFonts w:hint="cs"/>
          <w:rtl/>
        </w:rPr>
        <w:t>מאירי ד"ה שנים שהיו עוררין (עד "אלא בשטענותיהם שוות"</w:t>
      </w:r>
      <w:r w:rsidR="00957EFE">
        <w:rPr>
          <w:rFonts w:hint="cs"/>
          <w:rtl/>
        </w:rPr>
        <w:t xml:space="preserve">), ד"ה </w:t>
      </w:r>
      <w:r w:rsidR="00957EFE" w:rsidRPr="00957EFE">
        <w:rPr>
          <w:rtl/>
        </w:rPr>
        <w:t>שתי כתי עדים המכחישות זו את זו</w:t>
      </w:r>
    </w:p>
    <w:p w14:paraId="653B6D8D" w14:textId="33E6A17A" w:rsidR="00957EFE" w:rsidRDefault="00957EFE" w:rsidP="00836BCF">
      <w:pPr>
        <w:spacing w:after="120"/>
        <w:jc w:val="both"/>
        <w:rPr>
          <w:rtl/>
        </w:rPr>
      </w:pPr>
    </w:p>
    <w:p w14:paraId="31CD8456" w14:textId="2C2E1A4D" w:rsidR="00957EFE" w:rsidRDefault="00957EFE" w:rsidP="00836BCF">
      <w:pPr>
        <w:spacing w:after="120"/>
        <w:jc w:val="both"/>
        <w:rPr>
          <w:rtl/>
        </w:rPr>
      </w:pPr>
      <w:r>
        <w:rPr>
          <w:rFonts w:hint="cs"/>
          <w:rtl/>
        </w:rPr>
        <w:t>(2) בענין תוד"ה וזו:</w:t>
      </w:r>
    </w:p>
    <w:p w14:paraId="7FB3D822" w14:textId="5C5DC4D4" w:rsidR="00957EFE" w:rsidRDefault="004D1FB3" w:rsidP="00836BCF">
      <w:pPr>
        <w:spacing w:after="120"/>
        <w:jc w:val="both"/>
        <w:rPr>
          <w:rtl/>
        </w:rPr>
      </w:pPr>
      <w:r>
        <w:rPr>
          <w:rFonts w:hint="cs"/>
          <w:rtl/>
        </w:rPr>
        <w:t xml:space="preserve">רמב"ן ד"ה </w:t>
      </w:r>
      <w:r w:rsidR="006D3DFC">
        <w:rPr>
          <w:rFonts w:hint="cs"/>
          <w:rtl/>
        </w:rPr>
        <w:t>ז</w:t>
      </w:r>
      <w:r>
        <w:rPr>
          <w:rFonts w:hint="cs"/>
          <w:rtl/>
        </w:rPr>
        <w:t>ה אומר של אבותי, רשב"א ד"ה א"ל רבא "</w:t>
      </w:r>
      <w:r w:rsidRPr="004D1FB3">
        <w:rPr>
          <w:rtl/>
        </w:rPr>
        <w:t>וא"ת בין לרבא בין לרב נחמן</w:t>
      </w:r>
      <w:r>
        <w:rPr>
          <w:rFonts w:hint="cs"/>
          <w:rtl/>
        </w:rPr>
        <w:t xml:space="preserve"> ..."</w:t>
      </w:r>
    </w:p>
    <w:p w14:paraId="15F2C077" w14:textId="3E1E519F" w:rsidR="00957EFE" w:rsidRDefault="00957EFE" w:rsidP="00957EFE">
      <w:pPr>
        <w:spacing w:after="120"/>
        <w:jc w:val="both"/>
        <w:rPr>
          <w:rtl/>
        </w:rPr>
      </w:pPr>
      <w:r>
        <w:rPr>
          <w:rtl/>
        </w:rPr>
        <w:t>תוס</w:t>
      </w:r>
      <w:r>
        <w:rPr>
          <w:rFonts w:hint="cs"/>
          <w:rtl/>
        </w:rPr>
        <w:t>'</w:t>
      </w:r>
      <w:r>
        <w:rPr>
          <w:rtl/>
        </w:rPr>
        <w:t xml:space="preserve"> </w:t>
      </w:r>
      <w:r>
        <w:rPr>
          <w:rFonts w:hint="cs"/>
          <w:rtl/>
        </w:rPr>
        <w:t>ב"ק עב: ד"ה אין לך בו "ו</w:t>
      </w:r>
      <w:r>
        <w:rPr>
          <w:rtl/>
        </w:rPr>
        <w:t xml:space="preserve">אם תאמר ולמה הוי חידוש כלל </w:t>
      </w:r>
      <w:r>
        <w:rPr>
          <w:rFonts w:hint="cs"/>
          <w:rtl/>
        </w:rPr>
        <w:t xml:space="preserve">... </w:t>
      </w:r>
      <w:r>
        <w:rPr>
          <w:rtl/>
        </w:rPr>
        <w:t>דהא תרי כמאה וכ"ש מיגו</w:t>
      </w:r>
      <w:r>
        <w:rPr>
          <w:rFonts w:hint="cs"/>
          <w:rtl/>
        </w:rPr>
        <w:t>"</w:t>
      </w:r>
    </w:p>
    <w:p w14:paraId="25BBDDB7" w14:textId="77777777" w:rsidR="009B6FBE" w:rsidRDefault="009B6FBE" w:rsidP="009B6FBE">
      <w:pPr>
        <w:spacing w:after="120"/>
        <w:jc w:val="both"/>
        <w:rPr>
          <w:rtl/>
        </w:rPr>
      </w:pPr>
      <w:r>
        <w:rPr>
          <w:rtl/>
        </w:rPr>
        <w:t>רמב"ן קידושין סד</w:t>
      </w:r>
      <w:r>
        <w:rPr>
          <w:rFonts w:hint="cs"/>
          <w:rtl/>
        </w:rPr>
        <w:t xml:space="preserve">. ד"ה </w:t>
      </w:r>
      <w:r>
        <w:rPr>
          <w:rtl/>
        </w:rPr>
        <w:t>הא דאמרינן בנישואין הימניה רחמנא לאב בשבויה לא הימניה</w:t>
      </w:r>
    </w:p>
    <w:p w14:paraId="69817F3E" w14:textId="33357180" w:rsidR="00E43198" w:rsidRDefault="00E43198" w:rsidP="00836BCF">
      <w:pPr>
        <w:spacing w:after="120"/>
        <w:jc w:val="both"/>
        <w:rPr>
          <w:rtl/>
        </w:rPr>
      </w:pPr>
    </w:p>
    <w:p w14:paraId="245001EF" w14:textId="6D59C628" w:rsidR="009B6FBE" w:rsidRDefault="009B6FBE" w:rsidP="00836BCF">
      <w:pPr>
        <w:spacing w:after="120"/>
        <w:jc w:val="both"/>
        <w:rPr>
          <w:rtl/>
        </w:rPr>
      </w:pPr>
      <w:r>
        <w:rPr>
          <w:rFonts w:hint="cs"/>
          <w:rtl/>
        </w:rPr>
        <w:t>(3)</w:t>
      </w:r>
      <w:r>
        <w:rPr>
          <w:rFonts w:hint="cs"/>
        </w:rPr>
        <w:t xml:space="preserve"> </w:t>
      </w:r>
      <w:r>
        <w:rPr>
          <w:rFonts w:hint="cs"/>
          <w:rtl/>
        </w:rPr>
        <w:t>בענין תוד"ה ורב נחמן:</w:t>
      </w:r>
    </w:p>
    <w:p w14:paraId="2813D522" w14:textId="7C08621C" w:rsidR="009B6FBE" w:rsidRDefault="009B6FBE" w:rsidP="00836BCF">
      <w:pPr>
        <w:spacing w:after="120"/>
        <w:jc w:val="both"/>
        <w:rPr>
          <w:rtl/>
        </w:rPr>
      </w:pPr>
      <w:r>
        <w:rPr>
          <w:rFonts w:hint="cs"/>
          <w:rtl/>
        </w:rPr>
        <w:t>תוס' כתובות כ. ד"ב אלא</w:t>
      </w:r>
      <w:r w:rsidR="0095345D">
        <w:rPr>
          <w:rFonts w:hint="cs"/>
          <w:rtl/>
        </w:rPr>
        <w:t>, [חתם סופר שם ד"ה דאלו הוי לקמן]</w:t>
      </w:r>
    </w:p>
    <w:p w14:paraId="68A8D1EB" w14:textId="063B423A" w:rsidR="0095345D" w:rsidRDefault="00EF59F3" w:rsidP="00EF59F3">
      <w:pPr>
        <w:spacing w:after="120"/>
        <w:jc w:val="both"/>
        <w:rPr>
          <w:rtl/>
        </w:rPr>
      </w:pPr>
      <w:r>
        <w:rPr>
          <w:rFonts w:hint="cs"/>
          <w:rtl/>
        </w:rPr>
        <w:t xml:space="preserve">ר"ח מכות ה. ד"ה </w:t>
      </w:r>
      <w:r>
        <w:rPr>
          <w:rtl/>
        </w:rPr>
        <w:t>מתני' אין העדים נעשין זוממין עד שיזומו עצמן כ</w:t>
      </w:r>
      <w:r>
        <w:rPr>
          <w:rFonts w:hint="cs"/>
          <w:rtl/>
        </w:rPr>
        <w:t>ו'</w:t>
      </w:r>
    </w:p>
    <w:p w14:paraId="6CB9740F" w14:textId="77777777" w:rsidR="009B6FBE" w:rsidRDefault="009B6FBE" w:rsidP="00836BCF">
      <w:pPr>
        <w:spacing w:after="120"/>
        <w:jc w:val="both"/>
        <w:rPr>
          <w:rtl/>
        </w:rPr>
      </w:pPr>
    </w:p>
    <w:p w14:paraId="1EDFECED" w14:textId="5986AD66" w:rsidR="009B6FBE" w:rsidRDefault="009B6FBE" w:rsidP="00836BCF">
      <w:pPr>
        <w:spacing w:after="120"/>
        <w:jc w:val="both"/>
        <w:rPr>
          <w:rtl/>
        </w:rPr>
      </w:pPr>
      <w:r>
        <w:rPr>
          <w:rFonts w:hint="cs"/>
          <w:rtl/>
        </w:rPr>
        <w:t>(בשיעור הבא נעסוק במחלוקת רב הונא ורב חסדא.)</w:t>
      </w:r>
    </w:p>
    <w:p w14:paraId="73936B67" w14:textId="798C4CE5" w:rsidR="00E43198" w:rsidRDefault="00E43198" w:rsidP="00836BCF">
      <w:pPr>
        <w:spacing w:after="120"/>
        <w:jc w:val="both"/>
        <w:rPr>
          <w:rtl/>
        </w:rPr>
      </w:pPr>
    </w:p>
    <w:p w14:paraId="166EDE69" w14:textId="3657274E" w:rsidR="00E43198" w:rsidRDefault="00E43198" w:rsidP="00836BCF">
      <w:pPr>
        <w:spacing w:after="120"/>
        <w:jc w:val="both"/>
        <w:rPr>
          <w:rtl/>
        </w:rPr>
      </w:pPr>
    </w:p>
    <w:p w14:paraId="6F336B1F" w14:textId="77777777" w:rsidR="00E43198" w:rsidRDefault="00E43198" w:rsidP="00836BCF">
      <w:pPr>
        <w:spacing w:after="120"/>
        <w:jc w:val="both"/>
      </w:pPr>
    </w:p>
    <w:p w14:paraId="1D50806E" w14:textId="440F4F1D" w:rsidR="00927D9A" w:rsidRDefault="00927D9A" w:rsidP="00906587">
      <w:pPr>
        <w:spacing w:after="120"/>
        <w:jc w:val="both"/>
      </w:pPr>
    </w:p>
    <w:p w14:paraId="1A5AF663" w14:textId="77777777" w:rsidR="00511DD6" w:rsidRDefault="00511DD6" w:rsidP="00906587">
      <w:pPr>
        <w:spacing w:after="120"/>
        <w:jc w:val="both"/>
      </w:pPr>
    </w:p>
    <w:p w14:paraId="40A1DC9B" w14:textId="77777777" w:rsidR="00927D9A" w:rsidRDefault="00927D9A" w:rsidP="00D92524">
      <w:pPr>
        <w:jc w:val="both"/>
        <w:rPr>
          <w:u w:val="single"/>
          <w:rtl/>
        </w:rPr>
      </w:pPr>
    </w:p>
    <w:p w14:paraId="18778936" w14:textId="77777777" w:rsidR="009B6FBE" w:rsidRPr="009B6FBE" w:rsidRDefault="009B6FBE" w:rsidP="009B6FBE">
      <w:pPr>
        <w:jc w:val="both"/>
        <w:rPr>
          <w:u w:val="single"/>
          <w:rtl/>
        </w:rPr>
      </w:pPr>
      <w:r w:rsidRPr="009B6FBE">
        <w:rPr>
          <w:u w:val="single"/>
          <w:rtl/>
        </w:rPr>
        <w:t>חדושי הרמב"ן מסכת קידושין דף סד עמוד א</w:t>
      </w:r>
    </w:p>
    <w:p w14:paraId="3D4BC3BA" w14:textId="4FF292CD" w:rsidR="005F3FFF" w:rsidRDefault="009B6FBE" w:rsidP="009B6FBE">
      <w:pPr>
        <w:jc w:val="both"/>
        <w:rPr>
          <w:rtl/>
        </w:rPr>
      </w:pPr>
      <w:r>
        <w:rPr>
          <w:rtl/>
        </w:rPr>
        <w:t>הא דאמרינן בנישואין הימניה רחמנא לאב בשבויה לא הימניה. ק"ל ונהי דלא מפרש ביה קרא נאמנות, מכל מקום להמניה במיגו לגבי כהונה, ואפי' לתרומה נמי, מיגו דמצי למימר קדשתיה בביאה לאיש פלוני ממזר ליהמניה, דהא את בתי נתתי כל נתינות במשמע ובכולהו גברי משמע, וי"ל דילמא לא משמע אלא איסור נשואין אבל פסול כהונה ועד בנישואי איסור לא מהימן בהו, וכיון דליכא מיגו לפוסלה לגמרי לא מהימן בשבויה לחצאין (עי' ר"ן), אי נמי לא אמרינן מיגו להימוני איש על אחרים במה שאינו בידו, דעדות הוא, ואין בעדות דין מיגו דיכול למימר הכי כי אמר הכי מהימן.</w:t>
      </w:r>
    </w:p>
    <w:p w14:paraId="27F6B20B" w14:textId="3E19153B" w:rsidR="0095345D" w:rsidRDefault="0095345D" w:rsidP="009B6FBE">
      <w:pPr>
        <w:jc w:val="both"/>
        <w:rPr>
          <w:rtl/>
        </w:rPr>
      </w:pPr>
    </w:p>
    <w:p w14:paraId="4512E41B" w14:textId="77777777" w:rsidR="0095345D" w:rsidRPr="0095345D" w:rsidRDefault="0095345D" w:rsidP="0095345D">
      <w:pPr>
        <w:jc w:val="both"/>
        <w:rPr>
          <w:u w:val="single"/>
          <w:rtl/>
        </w:rPr>
      </w:pPr>
      <w:r w:rsidRPr="0095345D">
        <w:rPr>
          <w:u w:val="single"/>
          <w:rtl/>
        </w:rPr>
        <w:t>חתם סופר מסכת כתובות דף כ עמוד א</w:t>
      </w:r>
    </w:p>
    <w:p w14:paraId="63504BFA" w14:textId="00C5C99D" w:rsidR="0095345D" w:rsidRPr="00A60D34" w:rsidRDefault="0095345D" w:rsidP="0095345D">
      <w:pPr>
        <w:jc w:val="both"/>
      </w:pPr>
      <w:r>
        <w:rPr>
          <w:rtl/>
        </w:rPr>
        <w:t>דאלו הוי לקמן דלמא הוי מודי להו מהימני הכא א"ש אבל מ"ש תוס' בשם הרשב"א בזה צע"ג הא אלו הוי מודה מה מועיל הא אין חוזר ומגיד ולפמ"ש לעיל בשיטת מהרש"ך א"ש דכל עדות שאינו מועיל אלא מדרבנן חוזרים ומגידים דלא אלים הגדה קמייתא כ"כ ובשטר שמתו עדיו קיימין הכא דאינו רק מדרבנן לשיטת הרמב"ם שכתבתי לעיל ושפיר יכולין לחזור ולהגיד אף על גב דכשמתו לא שייך שיחזרו ויגידו מ"מ אמרי' אלו הוי קמן בהאי אופן שהם עתה שהי' השטר מדרבנן היו יכולים לחזור ולהגיד ודוחק וצ"ע:</w:t>
      </w:r>
    </w:p>
    <w:sectPr w:rsidR="0095345D" w:rsidRPr="00A60D34" w:rsidSect="00C0668D">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1FDC" w14:textId="77777777" w:rsidR="00362597" w:rsidRDefault="00362597">
      <w:r>
        <w:separator/>
      </w:r>
    </w:p>
  </w:endnote>
  <w:endnote w:type="continuationSeparator" w:id="0">
    <w:p w14:paraId="1D29ED17" w14:textId="77777777" w:rsidR="00362597" w:rsidRDefault="003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46EE" w14:textId="77777777" w:rsidR="00362597" w:rsidRDefault="00362597">
      <w:r>
        <w:separator/>
      </w:r>
    </w:p>
  </w:footnote>
  <w:footnote w:type="continuationSeparator" w:id="0">
    <w:p w14:paraId="2E5883C7" w14:textId="77777777" w:rsidR="00362597" w:rsidRDefault="00362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26F"/>
    <w:rsid w:val="00055A61"/>
    <w:rsid w:val="000569F3"/>
    <w:rsid w:val="00056D41"/>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3AA"/>
    <w:rsid w:val="00221AB4"/>
    <w:rsid w:val="00221F18"/>
    <w:rsid w:val="00222008"/>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2BD9"/>
    <w:rsid w:val="0023305C"/>
    <w:rsid w:val="00233106"/>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541"/>
    <w:rsid w:val="003707F6"/>
    <w:rsid w:val="00370DDB"/>
    <w:rsid w:val="00370F7E"/>
    <w:rsid w:val="003711F0"/>
    <w:rsid w:val="00371425"/>
    <w:rsid w:val="00371835"/>
    <w:rsid w:val="00371A9A"/>
    <w:rsid w:val="003721F1"/>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533"/>
    <w:rsid w:val="00445AF5"/>
    <w:rsid w:val="00445E44"/>
    <w:rsid w:val="00445FC1"/>
    <w:rsid w:val="0044657E"/>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0E88"/>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E71"/>
    <w:rsid w:val="00581F3E"/>
    <w:rsid w:val="00582A90"/>
    <w:rsid w:val="0058306E"/>
    <w:rsid w:val="005832CE"/>
    <w:rsid w:val="00583420"/>
    <w:rsid w:val="00583633"/>
    <w:rsid w:val="005838A4"/>
    <w:rsid w:val="00583BAA"/>
    <w:rsid w:val="005842EB"/>
    <w:rsid w:val="00584A35"/>
    <w:rsid w:val="00584CDC"/>
    <w:rsid w:val="0058515E"/>
    <w:rsid w:val="00585446"/>
    <w:rsid w:val="00585509"/>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F3"/>
    <w:rsid w:val="005F0B1F"/>
    <w:rsid w:val="005F12B1"/>
    <w:rsid w:val="005F1911"/>
    <w:rsid w:val="005F1937"/>
    <w:rsid w:val="005F1D4F"/>
    <w:rsid w:val="005F2077"/>
    <w:rsid w:val="005F228B"/>
    <w:rsid w:val="005F2403"/>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5F4C"/>
    <w:rsid w:val="007C68BC"/>
    <w:rsid w:val="007C72FE"/>
    <w:rsid w:val="007C748A"/>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4185"/>
    <w:rsid w:val="00904495"/>
    <w:rsid w:val="009047BB"/>
    <w:rsid w:val="00904B0B"/>
    <w:rsid w:val="00904C33"/>
    <w:rsid w:val="00905220"/>
    <w:rsid w:val="00905F71"/>
    <w:rsid w:val="009061B3"/>
    <w:rsid w:val="00906587"/>
    <w:rsid w:val="00906945"/>
    <w:rsid w:val="00906DB4"/>
    <w:rsid w:val="00910048"/>
    <w:rsid w:val="0091045A"/>
    <w:rsid w:val="00910BCA"/>
    <w:rsid w:val="00910EED"/>
    <w:rsid w:val="009111F1"/>
    <w:rsid w:val="009114E8"/>
    <w:rsid w:val="0091173D"/>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45D"/>
    <w:rsid w:val="009538B3"/>
    <w:rsid w:val="00953FAF"/>
    <w:rsid w:val="009542B7"/>
    <w:rsid w:val="00955253"/>
    <w:rsid w:val="009555B9"/>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AA9"/>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B6FBE"/>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F3C"/>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D34"/>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F33"/>
    <w:rsid w:val="00B90FAF"/>
    <w:rsid w:val="00B913BC"/>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ED7"/>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AE7"/>
    <w:rsid w:val="00F00A42"/>
    <w:rsid w:val="00F00DBF"/>
    <w:rsid w:val="00F0122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Yosef Mordechai Gokhman</cp:lastModifiedBy>
  <cp:revision>7</cp:revision>
  <cp:lastPrinted>2020-07-02T05:54:00Z</cp:lastPrinted>
  <dcterms:created xsi:type="dcterms:W3CDTF">2022-03-18T11:07:00Z</dcterms:created>
  <dcterms:modified xsi:type="dcterms:W3CDTF">2022-03-21T06:09:00Z</dcterms:modified>
</cp:coreProperties>
</file>