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433B5E23" w:rsidR="00746C02" w:rsidRPr="0097220D" w:rsidRDefault="00D036C2" w:rsidP="00087562">
      <w:pPr>
        <w:spacing w:after="120"/>
        <w:jc w:val="center"/>
        <w:rPr>
          <w:u w:val="single"/>
          <w:lang w:val="en-GB"/>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EC367B">
        <w:rPr>
          <w:rFonts w:hint="cs"/>
          <w:u w:val="single"/>
          <w:rtl/>
        </w:rPr>
        <w:t>11</w:t>
      </w:r>
    </w:p>
    <w:p w14:paraId="38E627E5" w14:textId="77777777" w:rsidR="00DC49EA" w:rsidRDefault="00DC49EA" w:rsidP="00DC49EA">
      <w:pPr>
        <w:spacing w:after="120"/>
        <w:jc w:val="both"/>
      </w:pPr>
    </w:p>
    <w:p w14:paraId="51BC6A87" w14:textId="3E3F180C" w:rsidR="00EC367B" w:rsidRDefault="00951FCC" w:rsidP="00E46FDE">
      <w:pPr>
        <w:spacing w:after="120"/>
        <w:jc w:val="both"/>
        <w:rPr>
          <w:rtl/>
        </w:rPr>
      </w:pPr>
      <w:r>
        <w:rPr>
          <w:rFonts w:hint="cs"/>
          <w:rtl/>
        </w:rPr>
        <w:t xml:space="preserve">(1) </w:t>
      </w:r>
      <w:r w:rsidR="00EC367B">
        <w:rPr>
          <w:rFonts w:hint="cs"/>
          <w:rtl/>
        </w:rPr>
        <w:t xml:space="preserve">לסיים את המקורות מדף 10 חלקים 3 </w:t>
      </w:r>
      <w:r w:rsidR="00EC367B">
        <w:rPr>
          <w:rtl/>
        </w:rPr>
        <w:t>–</w:t>
      </w:r>
      <w:r w:rsidR="00EC367B">
        <w:rPr>
          <w:rFonts w:hint="cs"/>
          <w:rtl/>
        </w:rPr>
        <w:t xml:space="preserve"> 4</w:t>
      </w:r>
    </w:p>
    <w:p w14:paraId="77F66013" w14:textId="77777777" w:rsidR="00EC367B" w:rsidRDefault="00EC367B" w:rsidP="00E46FDE">
      <w:pPr>
        <w:spacing w:after="120"/>
        <w:jc w:val="both"/>
        <w:rPr>
          <w:rtl/>
        </w:rPr>
      </w:pPr>
    </w:p>
    <w:p w14:paraId="3E3374FD" w14:textId="744AAE93" w:rsidR="00EC367B" w:rsidRDefault="00EC367B" w:rsidP="00E46FDE">
      <w:pPr>
        <w:spacing w:after="120"/>
        <w:jc w:val="both"/>
        <w:rPr>
          <w:rtl/>
        </w:rPr>
      </w:pPr>
      <w:r>
        <w:rPr>
          <w:rFonts w:hint="cs"/>
          <w:rtl/>
        </w:rPr>
        <w:t>(2)</w:t>
      </w:r>
      <w:r>
        <w:rPr>
          <w:rFonts w:hint="cs"/>
        </w:rPr>
        <w:t xml:space="preserve"> </w:t>
      </w:r>
      <w:r w:rsidR="004429D3">
        <w:rPr>
          <w:rFonts w:hint="cs"/>
          <w:rtl/>
        </w:rPr>
        <w:t>גמרא דף ד. "</w:t>
      </w:r>
      <w:r>
        <w:rPr>
          <w:rFonts w:hint="cs"/>
          <w:rtl/>
        </w:rPr>
        <w:t>וכן בגינה מקום שנהגו לגדור ... ואין מחייבן אותו</w:t>
      </w:r>
      <w:r w:rsidR="004429D3">
        <w:rPr>
          <w:rFonts w:hint="cs"/>
          <w:rtl/>
        </w:rPr>
        <w:t>", רש"י</w:t>
      </w:r>
      <w:r w:rsidR="005B1E87">
        <w:rPr>
          <w:rFonts w:hint="cs"/>
          <w:rtl/>
        </w:rPr>
        <w:t xml:space="preserve">, </w:t>
      </w:r>
      <w:r>
        <w:rPr>
          <w:rFonts w:hint="cs"/>
          <w:rtl/>
        </w:rPr>
        <w:t>תוס'</w:t>
      </w:r>
      <w:r w:rsidR="00E417C5">
        <w:rPr>
          <w:rFonts w:hint="cs"/>
          <w:rtl/>
        </w:rPr>
        <w:t>, רמב"ן, רשב"א</w:t>
      </w:r>
    </w:p>
    <w:p w14:paraId="22F53340" w14:textId="77777777" w:rsidR="00DC54F5" w:rsidRDefault="00DC54F5" w:rsidP="00DC54F5">
      <w:pPr>
        <w:spacing w:after="120"/>
        <w:jc w:val="both"/>
        <w:rPr>
          <w:rtl/>
        </w:rPr>
      </w:pPr>
      <w:r>
        <w:rPr>
          <w:rFonts w:hint="cs"/>
          <w:rtl/>
        </w:rPr>
        <w:t>רמב"ם פירוש המשנה כאן</w:t>
      </w:r>
    </w:p>
    <w:p w14:paraId="1A279AE9" w14:textId="7F379857" w:rsidR="00E417C5" w:rsidRDefault="00DC54F5" w:rsidP="00DC54F5">
      <w:pPr>
        <w:spacing w:after="120"/>
        <w:jc w:val="both"/>
        <w:rPr>
          <w:rtl/>
        </w:rPr>
      </w:pPr>
      <w:r>
        <w:rPr>
          <w:rFonts w:hint="cs"/>
          <w:rtl/>
        </w:rPr>
        <w:t>רמב"ם שכנים ב:טז; שם ב:יז, ראב"ד מ"מ וכס"מ שם, [חזון איש בבא בתרא ב:יב ד"ה ואמנם]</w:t>
      </w:r>
    </w:p>
    <w:p w14:paraId="12DC4A94" w14:textId="3EAD3D48" w:rsidR="007A55F2" w:rsidRDefault="007A55F2" w:rsidP="00DC54F5">
      <w:pPr>
        <w:spacing w:after="120"/>
        <w:jc w:val="both"/>
        <w:rPr>
          <w:rtl/>
        </w:rPr>
      </w:pPr>
      <w:r>
        <w:rPr>
          <w:rFonts w:hint="cs"/>
          <w:rtl/>
        </w:rPr>
        <w:t>ירושלמי ב"ב א:ב</w:t>
      </w:r>
    </w:p>
    <w:p w14:paraId="6237FDB5" w14:textId="71E61A3D" w:rsidR="00EC367B" w:rsidRDefault="007A55F2" w:rsidP="007A55F2">
      <w:pPr>
        <w:spacing w:after="120"/>
        <w:jc w:val="both"/>
        <w:rPr>
          <w:rtl/>
        </w:rPr>
      </w:pPr>
      <w:r>
        <w:rPr>
          <w:rFonts w:hint="cs"/>
          <w:rtl/>
        </w:rPr>
        <w:t xml:space="preserve">[ביאור </w:t>
      </w:r>
      <w:proofErr w:type="spellStart"/>
      <w:r>
        <w:rPr>
          <w:rFonts w:hint="cs"/>
          <w:rtl/>
        </w:rPr>
        <w:t>הגר"א</w:t>
      </w:r>
      <w:proofErr w:type="spellEnd"/>
      <w:r>
        <w:rPr>
          <w:rFonts w:hint="cs"/>
          <w:rtl/>
        </w:rPr>
        <w:t xml:space="preserve"> </w:t>
      </w:r>
      <w:proofErr w:type="spellStart"/>
      <w:r>
        <w:rPr>
          <w:rFonts w:hint="cs"/>
          <w:rtl/>
        </w:rPr>
        <w:t>חו"מ</w:t>
      </w:r>
      <w:proofErr w:type="spellEnd"/>
      <w:r>
        <w:rPr>
          <w:rFonts w:hint="cs"/>
          <w:rtl/>
        </w:rPr>
        <w:t xml:space="preserve"> </w:t>
      </w:r>
      <w:proofErr w:type="spellStart"/>
      <w:r>
        <w:rPr>
          <w:rFonts w:hint="cs"/>
          <w:rtl/>
        </w:rPr>
        <w:t>קנח:א</w:t>
      </w:r>
      <w:proofErr w:type="spellEnd"/>
      <w:r>
        <w:rPr>
          <w:rFonts w:hint="cs"/>
          <w:rtl/>
        </w:rPr>
        <w:t>]</w:t>
      </w:r>
    </w:p>
    <w:p w14:paraId="112B1129" w14:textId="77777777" w:rsidR="00E417C5" w:rsidRDefault="00E417C5" w:rsidP="00E46FDE">
      <w:pPr>
        <w:spacing w:after="120"/>
        <w:jc w:val="both"/>
        <w:rPr>
          <w:rtl/>
        </w:rPr>
      </w:pPr>
    </w:p>
    <w:p w14:paraId="4061F850" w14:textId="3D61BEB6" w:rsidR="00CC3822" w:rsidRDefault="00EC367B" w:rsidP="005B1E87">
      <w:pPr>
        <w:spacing w:after="120"/>
        <w:jc w:val="both"/>
        <w:rPr>
          <w:rtl/>
        </w:rPr>
      </w:pPr>
      <w:r>
        <w:rPr>
          <w:rFonts w:hint="cs"/>
          <w:rtl/>
        </w:rPr>
        <w:t>(3) גמרא עד המשנה בדף ד:, רש"י, תוס', ר' גרשום ד"ה ולא יעשה חזית לא לזה ולא לזה</w:t>
      </w:r>
    </w:p>
    <w:p w14:paraId="145D862C" w14:textId="62F0F8C9" w:rsidR="00111ACF" w:rsidRDefault="00EC367B" w:rsidP="00111ACF">
      <w:pPr>
        <w:spacing w:after="120"/>
        <w:jc w:val="both"/>
        <w:rPr>
          <w:rtl/>
        </w:rPr>
      </w:pPr>
      <w:r>
        <w:rPr>
          <w:rFonts w:hint="cs"/>
          <w:rtl/>
        </w:rPr>
        <w:t xml:space="preserve">[בענין חזית בחצר </w:t>
      </w:r>
      <w:r w:rsidR="00E417C5">
        <w:rPr>
          <w:rtl/>
        </w:rPr>
        <w:t>–</w:t>
      </w:r>
      <w:r>
        <w:rPr>
          <w:rFonts w:hint="cs"/>
          <w:rtl/>
        </w:rPr>
        <w:t xml:space="preserve"> </w:t>
      </w:r>
      <w:r w:rsidR="00E417C5">
        <w:rPr>
          <w:rFonts w:hint="cs"/>
          <w:rtl/>
        </w:rPr>
        <w:t xml:space="preserve">ר"י </w:t>
      </w:r>
      <w:proofErr w:type="spellStart"/>
      <w:r w:rsidR="00E417C5">
        <w:rPr>
          <w:rFonts w:hint="cs"/>
          <w:rtl/>
        </w:rPr>
        <w:t>מיגש</w:t>
      </w:r>
      <w:proofErr w:type="spellEnd"/>
      <w:r w:rsidR="00E417C5">
        <w:rPr>
          <w:rFonts w:hint="cs"/>
          <w:rtl/>
        </w:rPr>
        <w:t>, רא"ש, רבינו יונה, רשב"א]</w:t>
      </w:r>
    </w:p>
    <w:p w14:paraId="47341D1E" w14:textId="354DE08A" w:rsidR="00AF4DA2" w:rsidRDefault="00AF4DA2" w:rsidP="005B1E87">
      <w:pPr>
        <w:spacing w:after="120"/>
        <w:jc w:val="both"/>
        <w:rPr>
          <w:rtl/>
        </w:rPr>
      </w:pPr>
    </w:p>
    <w:p w14:paraId="7389BA88" w14:textId="30BB9EB9" w:rsidR="007A55F2" w:rsidRPr="007A55F2" w:rsidRDefault="007A55F2" w:rsidP="007A55F2">
      <w:pPr>
        <w:jc w:val="both"/>
        <w:rPr>
          <w:u w:val="single"/>
          <w:rtl/>
        </w:rPr>
      </w:pPr>
      <w:r w:rsidRPr="007A55F2">
        <w:rPr>
          <w:u w:val="single"/>
          <w:rtl/>
        </w:rPr>
        <w:t>תלמוד ירושלמי מסכת בבא בתרא פרק א הלכה ב</w:t>
      </w:r>
    </w:p>
    <w:p w14:paraId="6B616634" w14:textId="15564279" w:rsidR="007A55F2" w:rsidRDefault="007A55F2" w:rsidP="007A55F2">
      <w:pPr>
        <w:jc w:val="both"/>
        <w:rPr>
          <w:rtl/>
        </w:rPr>
      </w:pPr>
      <w:r w:rsidRPr="007A55F2">
        <w:rPr>
          <w:rtl/>
        </w:rPr>
        <w:t xml:space="preserve">מתני' וכן בגינה מקום שנהגו לגדור יגדור אבל בבקעה מקום שנהגו שלא לגדור אין </w:t>
      </w:r>
      <w:proofErr w:type="spellStart"/>
      <w:r w:rsidRPr="007A55F2">
        <w:rPr>
          <w:rtl/>
        </w:rPr>
        <w:t>מחייבין</w:t>
      </w:r>
      <w:proofErr w:type="spellEnd"/>
      <w:r w:rsidRPr="007A55F2">
        <w:rPr>
          <w:rtl/>
        </w:rPr>
        <w:t xml:space="preserve"> אותו אלא אם רצה כונס לתוך שלו ועושה חזית מבחוץ לפיכך אם נפל הכותל המקום והאבנים שלו ואם עשו מדעת שניהם בונים את הכותל באמצע ועושים חזית מיכן ומיכן לפיכך אם נפל הכותל המקום והאבנים של שניהם: גמ' תני בגינה בין מקום שנהגו לגדור בין מקום שנהגו שלא לגדור </w:t>
      </w:r>
      <w:proofErr w:type="spellStart"/>
      <w:r w:rsidRPr="007A55F2">
        <w:rPr>
          <w:rtl/>
        </w:rPr>
        <w:t>כופין</w:t>
      </w:r>
      <w:proofErr w:type="spellEnd"/>
      <w:r w:rsidRPr="007A55F2">
        <w:rPr>
          <w:rtl/>
        </w:rPr>
        <w:t xml:space="preserve"> אבל בבקעה מקום שנהגו לגדור </w:t>
      </w:r>
      <w:proofErr w:type="spellStart"/>
      <w:r w:rsidRPr="007A55F2">
        <w:rPr>
          <w:rtl/>
        </w:rPr>
        <w:t>כופין</w:t>
      </w:r>
      <w:proofErr w:type="spellEnd"/>
      <w:r w:rsidRPr="007A55F2">
        <w:rPr>
          <w:rtl/>
        </w:rPr>
        <w:t xml:space="preserve"> שלא לגדור אין </w:t>
      </w:r>
      <w:proofErr w:type="spellStart"/>
      <w:r w:rsidRPr="007A55F2">
        <w:rPr>
          <w:rtl/>
        </w:rPr>
        <w:t>כופין</w:t>
      </w:r>
      <w:proofErr w:type="spellEnd"/>
      <w:r w:rsidRPr="007A55F2">
        <w:rPr>
          <w:rtl/>
        </w:rPr>
        <w:t>:</w:t>
      </w:r>
    </w:p>
    <w:p w14:paraId="2940E9E2" w14:textId="3A595958" w:rsidR="007A55F2" w:rsidRDefault="007A55F2" w:rsidP="007A55F2">
      <w:pPr>
        <w:jc w:val="both"/>
        <w:rPr>
          <w:rtl/>
        </w:rPr>
      </w:pPr>
    </w:p>
    <w:p w14:paraId="58F78312" w14:textId="77777777" w:rsidR="007A55F2" w:rsidRPr="007A55F2" w:rsidRDefault="007A55F2" w:rsidP="007A55F2">
      <w:pPr>
        <w:jc w:val="both"/>
        <w:rPr>
          <w:u w:val="single"/>
          <w:rtl/>
        </w:rPr>
      </w:pPr>
      <w:r w:rsidRPr="007A55F2">
        <w:rPr>
          <w:u w:val="single"/>
          <w:rtl/>
        </w:rPr>
        <w:t xml:space="preserve">באור </w:t>
      </w:r>
      <w:proofErr w:type="spellStart"/>
      <w:r w:rsidRPr="007A55F2">
        <w:rPr>
          <w:u w:val="single"/>
          <w:rtl/>
        </w:rPr>
        <w:t>הגר"א</w:t>
      </w:r>
      <w:proofErr w:type="spellEnd"/>
      <w:r w:rsidRPr="007A55F2">
        <w:rPr>
          <w:u w:val="single"/>
          <w:rtl/>
        </w:rPr>
        <w:t xml:space="preserve"> חושן משפט סימן קנח ס"ק א</w:t>
      </w:r>
    </w:p>
    <w:p w14:paraId="2A6C3E81" w14:textId="77777777" w:rsidR="007A55F2" w:rsidRDefault="007A55F2" w:rsidP="007A55F2">
      <w:pPr>
        <w:jc w:val="both"/>
        <w:rPr>
          <w:rtl/>
        </w:rPr>
      </w:pPr>
      <w:r>
        <w:rPr>
          <w:rtl/>
        </w:rPr>
        <w:t xml:space="preserve">[א] המוכר. ע' </w:t>
      </w:r>
      <w:proofErr w:type="spellStart"/>
      <w:r>
        <w:rPr>
          <w:rtl/>
        </w:rPr>
        <w:t>באה"ג</w:t>
      </w:r>
      <w:proofErr w:type="spellEnd"/>
      <w:r>
        <w:rPr>
          <w:rtl/>
        </w:rPr>
        <w:t xml:space="preserve"> וכשיטתו שמפ' שם </w:t>
      </w:r>
      <w:proofErr w:type="spellStart"/>
      <w:r>
        <w:rPr>
          <w:rtl/>
        </w:rPr>
        <w:t>אלוקח</w:t>
      </w:r>
      <w:proofErr w:type="spellEnd"/>
      <w:r>
        <w:rPr>
          <w:rtl/>
        </w:rPr>
        <w:t xml:space="preserve"> וכמ"ש בסי' רי"ח </w:t>
      </w:r>
      <w:proofErr w:type="spellStart"/>
      <w:r>
        <w:rPr>
          <w:rtl/>
        </w:rPr>
        <w:t>ס"כ</w:t>
      </w:r>
      <w:proofErr w:type="spellEnd"/>
      <w:r>
        <w:rPr>
          <w:rtl/>
        </w:rPr>
        <w:t xml:space="preserve"> ומפ' סתם גינה שמכר סתם והירושלמי הכריחם </w:t>
      </w:r>
      <w:proofErr w:type="spellStart"/>
      <w:r>
        <w:rPr>
          <w:rtl/>
        </w:rPr>
        <w:t>לקצת</w:t>
      </w:r>
      <w:proofErr w:type="spellEnd"/>
      <w:r>
        <w:rPr>
          <w:rtl/>
        </w:rPr>
        <w:t xml:space="preserve"> הגאונים לפרש כן שאמרו שם תני בגינה בין כו' בין במקום שנהגו שלא לגדור </w:t>
      </w:r>
      <w:proofErr w:type="spellStart"/>
      <w:r>
        <w:rPr>
          <w:rtl/>
        </w:rPr>
        <w:t>כופין</w:t>
      </w:r>
      <w:proofErr w:type="spellEnd"/>
      <w:r>
        <w:rPr>
          <w:rtl/>
        </w:rPr>
        <w:t>:</w:t>
      </w:r>
    </w:p>
    <w:p w14:paraId="15A6A319" w14:textId="77777777" w:rsidR="007A55F2" w:rsidRDefault="007A55F2" w:rsidP="007A55F2">
      <w:pPr>
        <w:jc w:val="both"/>
        <w:rPr>
          <w:rtl/>
        </w:rPr>
      </w:pPr>
      <w:r>
        <w:rPr>
          <w:rtl/>
        </w:rPr>
        <w:t>(ליקוט) המוכר כו'. כן פי' למתני' וכן גינה כו' וכ"כ הרמב"ם בפי' ע"ש (ע"כ):</w:t>
      </w:r>
    </w:p>
    <w:p w14:paraId="34CBAD74" w14:textId="77777777" w:rsidR="007A55F2" w:rsidRDefault="007A55F2" w:rsidP="007A55F2">
      <w:pPr>
        <w:jc w:val="both"/>
        <w:rPr>
          <w:rtl/>
        </w:rPr>
      </w:pPr>
      <w:r>
        <w:rPr>
          <w:rtl/>
        </w:rPr>
        <w:t xml:space="preserve">(ליקוט) המוכר כו'. </w:t>
      </w:r>
      <w:proofErr w:type="spellStart"/>
      <w:r>
        <w:rPr>
          <w:rtl/>
        </w:rPr>
        <w:t>כגי</w:t>
      </w:r>
      <w:proofErr w:type="spellEnd"/>
      <w:r>
        <w:rPr>
          <w:rtl/>
        </w:rPr>
        <w:t xml:space="preserve">' נוס' הישנות </w:t>
      </w:r>
      <w:proofErr w:type="spellStart"/>
      <w:r>
        <w:rPr>
          <w:rtl/>
        </w:rPr>
        <w:t>דל"ג</w:t>
      </w:r>
      <w:proofErr w:type="spellEnd"/>
      <w:r>
        <w:rPr>
          <w:rtl/>
        </w:rPr>
        <w:t xml:space="preserve"> הא גופא קשיא ול"ג השתא סתם גינה כו' אלא ה"ג אמרת וכן בגנה מקום שנהגו לגדור </w:t>
      </w:r>
      <w:proofErr w:type="spellStart"/>
      <w:r>
        <w:rPr>
          <w:rtl/>
        </w:rPr>
        <w:t>מחייבין</w:t>
      </w:r>
      <w:proofErr w:type="spellEnd"/>
      <w:r>
        <w:rPr>
          <w:rtl/>
        </w:rPr>
        <w:t xml:space="preserve"> אותו מקום שנהגו אין מקום שלא נהגו לא אימא סיפא אבל בבקעה מקום שלא נהגו לגדור אין </w:t>
      </w:r>
      <w:proofErr w:type="spellStart"/>
      <w:r>
        <w:rPr>
          <w:rtl/>
        </w:rPr>
        <w:t>מחייבין</w:t>
      </w:r>
      <w:proofErr w:type="spellEnd"/>
      <w:r>
        <w:rPr>
          <w:rtl/>
        </w:rPr>
        <w:t xml:space="preserve"> אותו הא מקום שנהגו לגדור </w:t>
      </w:r>
      <w:proofErr w:type="spellStart"/>
      <w:r>
        <w:rPr>
          <w:rtl/>
        </w:rPr>
        <w:t>מחייבין</w:t>
      </w:r>
      <w:proofErr w:type="spellEnd"/>
      <w:r>
        <w:rPr>
          <w:rtl/>
        </w:rPr>
        <w:t xml:space="preserve"> אותו </w:t>
      </w:r>
      <w:proofErr w:type="spellStart"/>
      <w:r>
        <w:rPr>
          <w:rtl/>
        </w:rPr>
        <w:t>ור"ל</w:t>
      </w:r>
      <w:proofErr w:type="spellEnd"/>
      <w:r>
        <w:rPr>
          <w:rtl/>
        </w:rPr>
        <w:t xml:space="preserve"> א"כ היינו גינה אמר </w:t>
      </w:r>
      <w:proofErr w:type="spellStart"/>
      <w:r>
        <w:rPr>
          <w:rtl/>
        </w:rPr>
        <w:t>אביי</w:t>
      </w:r>
      <w:proofErr w:type="spellEnd"/>
      <w:r>
        <w:rPr>
          <w:rtl/>
        </w:rPr>
        <w:t xml:space="preserve"> כו' אלא אמר רבא </w:t>
      </w:r>
      <w:proofErr w:type="spellStart"/>
      <w:r>
        <w:rPr>
          <w:rtl/>
        </w:rPr>
        <w:t>ה"ק</w:t>
      </w:r>
      <w:proofErr w:type="spellEnd"/>
      <w:r>
        <w:rPr>
          <w:rtl/>
        </w:rPr>
        <w:t xml:space="preserve"> המוכר סתם גינה כמקום שנהגו לגדור דמי </w:t>
      </w:r>
      <w:proofErr w:type="spellStart"/>
      <w:r>
        <w:rPr>
          <w:rtl/>
        </w:rPr>
        <w:t>ומחייבין</w:t>
      </w:r>
      <w:proofErr w:type="spellEnd"/>
      <w:r>
        <w:rPr>
          <w:rtl/>
        </w:rPr>
        <w:t xml:space="preserve"> אותו אבל סתם בקעה אין </w:t>
      </w:r>
      <w:proofErr w:type="spellStart"/>
      <w:r>
        <w:rPr>
          <w:rtl/>
        </w:rPr>
        <w:t>מחייבין</w:t>
      </w:r>
      <w:proofErr w:type="spellEnd"/>
      <w:r>
        <w:rPr>
          <w:rtl/>
        </w:rPr>
        <w:t xml:space="preserve"> אותו </w:t>
      </w:r>
      <w:proofErr w:type="spellStart"/>
      <w:r>
        <w:rPr>
          <w:rtl/>
        </w:rPr>
        <w:t>ור"ל</w:t>
      </w:r>
      <w:proofErr w:type="spellEnd"/>
      <w:r>
        <w:rPr>
          <w:rtl/>
        </w:rPr>
        <w:t xml:space="preserve"> סתם גינה המוכר בסתם </w:t>
      </w:r>
      <w:proofErr w:type="spellStart"/>
      <w:r>
        <w:rPr>
          <w:rtl/>
        </w:rPr>
        <w:t>ומדקא</w:t>
      </w:r>
      <w:proofErr w:type="spellEnd"/>
      <w:r>
        <w:rPr>
          <w:rtl/>
        </w:rPr>
        <w:t xml:space="preserve">' כמקום שנהגו לגדור מ' אפי' במקום שנהגו שלא לגדור </w:t>
      </w:r>
      <w:proofErr w:type="spellStart"/>
      <w:r>
        <w:rPr>
          <w:rtl/>
        </w:rPr>
        <w:t>דמזה</w:t>
      </w:r>
      <w:proofErr w:type="spellEnd"/>
      <w:r>
        <w:rPr>
          <w:rtl/>
        </w:rPr>
        <w:t xml:space="preserve"> </w:t>
      </w:r>
      <w:proofErr w:type="spellStart"/>
      <w:r>
        <w:rPr>
          <w:rtl/>
        </w:rPr>
        <w:t>היתה</w:t>
      </w:r>
      <w:proofErr w:type="spellEnd"/>
      <w:r>
        <w:rPr>
          <w:rtl/>
        </w:rPr>
        <w:t xml:space="preserve"> </w:t>
      </w:r>
      <w:proofErr w:type="spellStart"/>
      <w:r>
        <w:rPr>
          <w:rtl/>
        </w:rPr>
        <w:t>הקושיא</w:t>
      </w:r>
      <w:proofErr w:type="spellEnd"/>
      <w:r>
        <w:rPr>
          <w:rtl/>
        </w:rPr>
        <w:t xml:space="preserve"> מקום שנהגו אין מקום שלא כו' וכתב הרמב"ם ג"כ </w:t>
      </w:r>
      <w:proofErr w:type="spellStart"/>
      <w:r>
        <w:rPr>
          <w:rtl/>
        </w:rPr>
        <w:t>לפרש"י</w:t>
      </w:r>
      <w:proofErr w:type="spellEnd"/>
      <w:r>
        <w:rPr>
          <w:rtl/>
        </w:rPr>
        <w:t xml:space="preserve"> וכ' המ"מ </w:t>
      </w:r>
      <w:proofErr w:type="spellStart"/>
      <w:r>
        <w:rPr>
          <w:rtl/>
        </w:rPr>
        <w:t>דנקט</w:t>
      </w:r>
      <w:proofErr w:type="spellEnd"/>
      <w:r>
        <w:rPr>
          <w:rtl/>
        </w:rPr>
        <w:t xml:space="preserve"> לשני </w:t>
      </w:r>
      <w:proofErr w:type="spellStart"/>
      <w:r>
        <w:rPr>
          <w:rtl/>
        </w:rPr>
        <w:t>הפירושין</w:t>
      </w:r>
      <w:proofErr w:type="spellEnd"/>
      <w:r>
        <w:rPr>
          <w:rtl/>
        </w:rPr>
        <w:t xml:space="preserve"> אבל י"ל </w:t>
      </w:r>
      <w:proofErr w:type="spellStart"/>
      <w:r>
        <w:rPr>
          <w:rtl/>
        </w:rPr>
        <w:t>דע"כ</w:t>
      </w:r>
      <w:proofErr w:type="spellEnd"/>
      <w:r>
        <w:rPr>
          <w:rtl/>
        </w:rPr>
        <w:t xml:space="preserve"> צ"ל ג"כ </w:t>
      </w:r>
      <w:proofErr w:type="spellStart"/>
      <w:r>
        <w:rPr>
          <w:rtl/>
        </w:rPr>
        <w:t>לפרש"י</w:t>
      </w:r>
      <w:proofErr w:type="spellEnd"/>
      <w:r>
        <w:rPr>
          <w:rtl/>
        </w:rPr>
        <w:t xml:space="preserve"> </w:t>
      </w:r>
      <w:proofErr w:type="spellStart"/>
      <w:r>
        <w:rPr>
          <w:rtl/>
        </w:rPr>
        <w:t>דקא</w:t>
      </w:r>
      <w:proofErr w:type="spellEnd"/>
      <w:r>
        <w:rPr>
          <w:rtl/>
        </w:rPr>
        <w:t xml:space="preserve">' במתני' וכן גינה ר"ל כמו החצר </w:t>
      </w:r>
      <w:proofErr w:type="spellStart"/>
      <w:r>
        <w:rPr>
          <w:rtl/>
        </w:rPr>
        <w:t>וקא</w:t>
      </w:r>
      <w:proofErr w:type="spellEnd"/>
      <w:r>
        <w:rPr>
          <w:rtl/>
        </w:rPr>
        <w:t xml:space="preserve">' בבקעה אלא אם רצה כו' ואם כו' אלא </w:t>
      </w:r>
      <w:proofErr w:type="spellStart"/>
      <w:r>
        <w:rPr>
          <w:rtl/>
        </w:rPr>
        <w:t>דהרמב"ם</w:t>
      </w:r>
      <w:proofErr w:type="spellEnd"/>
      <w:r>
        <w:rPr>
          <w:rtl/>
        </w:rPr>
        <w:t xml:space="preserve"> מפ' וכן גינה כנ"ל ומקום שנהגו לגדור הוא בבא בפ"ע (ע"כ):</w:t>
      </w:r>
    </w:p>
    <w:p w14:paraId="04CA1DE6" w14:textId="77777777" w:rsidR="007A55F2" w:rsidRDefault="007A55F2" w:rsidP="007A55F2">
      <w:pPr>
        <w:jc w:val="both"/>
        <w:rPr>
          <w:rtl/>
        </w:rPr>
      </w:pPr>
      <w:r>
        <w:rPr>
          <w:rtl/>
        </w:rPr>
        <w:t xml:space="preserve">(ליקוט) המוכר כו'. </w:t>
      </w:r>
      <w:proofErr w:type="spellStart"/>
      <w:r>
        <w:rPr>
          <w:rtl/>
        </w:rPr>
        <w:t>עמ"ש</w:t>
      </w:r>
      <w:proofErr w:type="spellEnd"/>
      <w:r>
        <w:rPr>
          <w:rtl/>
        </w:rPr>
        <w:t xml:space="preserve"> למעלה וכ' הרמב"ם אבל בבקעה אין </w:t>
      </w:r>
      <w:proofErr w:type="spellStart"/>
      <w:r>
        <w:rPr>
          <w:rtl/>
        </w:rPr>
        <w:t>מחייבין</w:t>
      </w:r>
      <w:proofErr w:type="spellEnd"/>
      <w:r>
        <w:rPr>
          <w:rtl/>
        </w:rPr>
        <w:t xml:space="preserve"> אותו אלא במקום שנהגו לגדור. </w:t>
      </w:r>
      <w:proofErr w:type="spellStart"/>
      <w:r>
        <w:rPr>
          <w:rtl/>
        </w:rPr>
        <w:t>דא"א</w:t>
      </w:r>
      <w:proofErr w:type="spellEnd"/>
      <w:r>
        <w:rPr>
          <w:rtl/>
        </w:rPr>
        <w:t xml:space="preserve"> לפרש ג"כ בבקעה אבל סתם בקעה כמקום שלא נהגו לגדור כו' דאף במקום שנהגו כמקום שלא נהגו דמי </w:t>
      </w:r>
      <w:proofErr w:type="spellStart"/>
      <w:r>
        <w:rPr>
          <w:rtl/>
        </w:rPr>
        <w:t>דא"כ</w:t>
      </w:r>
      <w:proofErr w:type="spellEnd"/>
      <w:r>
        <w:rPr>
          <w:rtl/>
        </w:rPr>
        <w:t xml:space="preserve"> קל מוכר </w:t>
      </w:r>
      <w:proofErr w:type="spellStart"/>
      <w:r>
        <w:rPr>
          <w:rtl/>
        </w:rPr>
        <w:t>משותפין</w:t>
      </w:r>
      <w:proofErr w:type="spellEnd"/>
      <w:r>
        <w:rPr>
          <w:rtl/>
        </w:rPr>
        <w:t xml:space="preserve"> </w:t>
      </w:r>
      <w:proofErr w:type="spellStart"/>
      <w:r>
        <w:rPr>
          <w:rtl/>
        </w:rPr>
        <w:t>דבשותפין</w:t>
      </w:r>
      <w:proofErr w:type="spellEnd"/>
      <w:r>
        <w:rPr>
          <w:rtl/>
        </w:rPr>
        <w:t xml:space="preserve"> </w:t>
      </w:r>
      <w:proofErr w:type="spellStart"/>
      <w:r>
        <w:rPr>
          <w:rtl/>
        </w:rPr>
        <w:t>מחייבין</w:t>
      </w:r>
      <w:proofErr w:type="spellEnd"/>
      <w:r>
        <w:rPr>
          <w:rtl/>
        </w:rPr>
        <w:t xml:space="preserve"> בכה"ג </w:t>
      </w:r>
      <w:proofErr w:type="spellStart"/>
      <w:r>
        <w:rPr>
          <w:rtl/>
        </w:rPr>
        <w:t>דרבא</w:t>
      </w:r>
      <w:proofErr w:type="spellEnd"/>
      <w:r>
        <w:rPr>
          <w:rtl/>
        </w:rPr>
        <w:t xml:space="preserve"> </w:t>
      </w:r>
      <w:proofErr w:type="spellStart"/>
      <w:r>
        <w:rPr>
          <w:rtl/>
        </w:rPr>
        <w:t>ל"פ</w:t>
      </w:r>
      <w:proofErr w:type="spellEnd"/>
      <w:r>
        <w:rPr>
          <w:rtl/>
        </w:rPr>
        <w:t xml:space="preserve"> </w:t>
      </w:r>
      <w:proofErr w:type="spellStart"/>
      <w:r>
        <w:rPr>
          <w:rtl/>
        </w:rPr>
        <w:t>אאביי</w:t>
      </w:r>
      <w:proofErr w:type="spellEnd"/>
      <w:r>
        <w:rPr>
          <w:rtl/>
        </w:rPr>
        <w:t xml:space="preserve"> בהא ובגינה חמור מוכר יותר </w:t>
      </w:r>
      <w:proofErr w:type="spellStart"/>
      <w:r>
        <w:rPr>
          <w:rtl/>
        </w:rPr>
        <w:t>משותפין</w:t>
      </w:r>
      <w:proofErr w:type="spellEnd"/>
      <w:r>
        <w:rPr>
          <w:rtl/>
        </w:rPr>
        <w:t xml:space="preserve"> (ע"כ):</w:t>
      </w:r>
    </w:p>
    <w:p w14:paraId="10C5616F" w14:textId="58E9C377" w:rsidR="007A55F2" w:rsidRPr="007A55F2" w:rsidRDefault="007A55F2" w:rsidP="007A55F2">
      <w:pPr>
        <w:jc w:val="both"/>
        <w:rPr>
          <w:rtl/>
        </w:rPr>
      </w:pPr>
      <w:r>
        <w:rPr>
          <w:rtl/>
        </w:rPr>
        <w:t xml:space="preserve">(ליקוט) המוכר כו'. כן מוכח </w:t>
      </w:r>
      <w:proofErr w:type="spellStart"/>
      <w:r>
        <w:rPr>
          <w:rtl/>
        </w:rPr>
        <w:t>מתוספתא</w:t>
      </w:r>
      <w:proofErr w:type="spellEnd"/>
      <w:r>
        <w:rPr>
          <w:rtl/>
        </w:rPr>
        <w:t xml:space="preserve"> הביאו הרי"ף </w:t>
      </w:r>
      <w:proofErr w:type="spellStart"/>
      <w:r>
        <w:rPr>
          <w:rtl/>
        </w:rPr>
        <w:t>ורא"ש</w:t>
      </w:r>
      <w:proofErr w:type="spellEnd"/>
      <w:r>
        <w:rPr>
          <w:rtl/>
        </w:rPr>
        <w:t xml:space="preserve"> </w:t>
      </w:r>
      <w:proofErr w:type="spellStart"/>
      <w:r>
        <w:rPr>
          <w:rtl/>
        </w:rPr>
        <w:t>כופין</w:t>
      </w:r>
      <w:proofErr w:type="spellEnd"/>
      <w:r>
        <w:rPr>
          <w:rtl/>
        </w:rPr>
        <w:t xml:space="preserve"> בני בקעה זא"ז לעשות ביניהם חריץ ובן חריץ </w:t>
      </w:r>
      <w:proofErr w:type="spellStart"/>
      <w:r>
        <w:rPr>
          <w:rtl/>
        </w:rPr>
        <w:t>ול"ק</w:t>
      </w:r>
      <w:proofErr w:type="spellEnd"/>
      <w:r>
        <w:rPr>
          <w:rtl/>
        </w:rPr>
        <w:t xml:space="preserve"> גדר ובמוכר תנן </w:t>
      </w:r>
      <w:proofErr w:type="spellStart"/>
      <w:r>
        <w:rPr>
          <w:rtl/>
        </w:rPr>
        <w:t>ספ"ז</w:t>
      </w:r>
      <w:proofErr w:type="spellEnd"/>
      <w:r>
        <w:rPr>
          <w:rtl/>
        </w:rPr>
        <w:t xml:space="preserve"> ומקבל עליו מקום הגדר חריץ ובן חריץ וע' </w:t>
      </w:r>
      <w:proofErr w:type="spellStart"/>
      <w:r>
        <w:rPr>
          <w:rtl/>
        </w:rPr>
        <w:t>בה"ג</w:t>
      </w:r>
      <w:proofErr w:type="spellEnd"/>
      <w:r>
        <w:rPr>
          <w:rtl/>
        </w:rPr>
        <w:t xml:space="preserve"> והרמב"ן </w:t>
      </w:r>
      <w:proofErr w:type="spellStart"/>
      <w:r>
        <w:rPr>
          <w:rtl/>
        </w:rPr>
        <w:t>תי</w:t>
      </w:r>
      <w:proofErr w:type="spellEnd"/>
      <w:r>
        <w:rPr>
          <w:rtl/>
        </w:rPr>
        <w:t>' כאן דמתני' איירי במקום שנהגו לגדור בבקעה ע"ש (ע"כ):</w:t>
      </w:r>
    </w:p>
    <w:p w14:paraId="5496785E" w14:textId="77777777" w:rsidR="007A55F2" w:rsidRDefault="007A55F2" w:rsidP="00EC367B">
      <w:pPr>
        <w:jc w:val="both"/>
        <w:rPr>
          <w:u w:val="single"/>
          <w:rtl/>
        </w:rPr>
      </w:pPr>
    </w:p>
    <w:p w14:paraId="18995C80" w14:textId="129AB821" w:rsidR="00EC367B" w:rsidRDefault="00DC54F5" w:rsidP="00EC367B">
      <w:pPr>
        <w:jc w:val="both"/>
        <w:rPr>
          <w:rtl/>
        </w:rPr>
      </w:pPr>
      <w:r>
        <w:rPr>
          <w:rFonts w:hint="cs"/>
          <w:u w:val="single"/>
          <w:rtl/>
        </w:rPr>
        <w:t>חזון איש חושן משפט, בבא בתרא סימן ב</w:t>
      </w:r>
    </w:p>
    <w:p w14:paraId="34D1F0B4" w14:textId="741E76D5" w:rsidR="007A55F2" w:rsidRPr="007A55F2" w:rsidRDefault="00AF4DA2" w:rsidP="00111ACF">
      <w:pPr>
        <w:jc w:val="both"/>
      </w:pPr>
      <w:r>
        <w:rPr>
          <w:rtl/>
        </w:rPr>
        <w:t xml:space="preserve"> </w:t>
      </w:r>
      <w:r w:rsidR="00DC54F5" w:rsidRPr="00DC54F5">
        <w:rPr>
          <w:noProof/>
          <w:rtl/>
        </w:rPr>
        <w:drawing>
          <wp:inline distT="0" distB="0" distL="0" distR="0" wp14:anchorId="11F2F692" wp14:editId="42C9F4E7">
            <wp:extent cx="3639312" cy="2249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9312" cy="2249424"/>
                    </a:xfrm>
                    <a:prstGeom prst="rect">
                      <a:avLst/>
                    </a:prstGeom>
                    <a:noFill/>
                    <a:ln>
                      <a:noFill/>
                    </a:ln>
                  </pic:spPr>
                </pic:pic>
              </a:graphicData>
            </a:graphic>
          </wp:inline>
        </w:drawing>
      </w:r>
    </w:p>
    <w:sectPr w:rsidR="007A55F2" w:rsidRPr="007A55F2" w:rsidSect="00111ACF">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D47A" w14:textId="77777777" w:rsidR="00435CE4" w:rsidRDefault="00435CE4">
      <w:r>
        <w:separator/>
      </w:r>
    </w:p>
  </w:endnote>
  <w:endnote w:type="continuationSeparator" w:id="0">
    <w:p w14:paraId="305A800F" w14:textId="77777777" w:rsidR="00435CE4" w:rsidRDefault="0043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49FB" w14:textId="77777777" w:rsidR="00435CE4" w:rsidRDefault="00435CE4">
      <w:r>
        <w:separator/>
      </w:r>
    </w:p>
  </w:footnote>
  <w:footnote w:type="continuationSeparator" w:id="0">
    <w:p w14:paraId="2E2445EC" w14:textId="77777777" w:rsidR="00435CE4" w:rsidRDefault="0043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9EC"/>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196"/>
    <w:rsid w:val="00436383"/>
    <w:rsid w:val="004363D8"/>
    <w:rsid w:val="00436604"/>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6076"/>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448"/>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4EF"/>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2020-07-02T05:54:00Z</cp:lastPrinted>
  <dcterms:created xsi:type="dcterms:W3CDTF">2021-10-11T18:04:00Z</dcterms:created>
  <dcterms:modified xsi:type="dcterms:W3CDTF">2021-10-11T22:37:00Z</dcterms:modified>
</cp:coreProperties>
</file>