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53D" w:rsidRDefault="00E62C2E" w:rsidP="00E62C2E">
      <w:pPr>
        <w:bidi/>
        <w:jc w:val="center"/>
        <w:rPr>
          <w:rFonts w:asciiTheme="majorBidi" w:hAnsiTheme="majorBidi" w:cstheme="majorBidi"/>
          <w:b/>
          <w:bCs/>
          <w:sz w:val="24"/>
          <w:szCs w:val="24"/>
        </w:rPr>
      </w:pPr>
      <w:r>
        <w:rPr>
          <w:rFonts w:asciiTheme="majorBidi" w:hAnsiTheme="majorBidi" w:cstheme="majorBidi"/>
          <w:b/>
          <w:bCs/>
          <w:sz w:val="24"/>
          <w:szCs w:val="24"/>
        </w:rPr>
        <w:t>“Know what to Respond to an Apikorus ”</w:t>
      </w:r>
    </w:p>
    <w:p w:rsidR="0093453D" w:rsidRDefault="0093453D" w:rsidP="0093453D">
      <w:pPr>
        <w:jc w:val="center"/>
        <w:rPr>
          <w:rFonts w:asciiTheme="majorBidi" w:hAnsiTheme="majorBidi" w:cstheme="majorBidi"/>
          <w:b/>
          <w:bCs/>
          <w:rtl/>
        </w:rPr>
      </w:pPr>
      <w:r>
        <w:rPr>
          <w:rFonts w:asciiTheme="majorBidi" w:hAnsiTheme="majorBidi" w:cstheme="majorBidi"/>
          <w:b/>
          <w:bCs/>
        </w:rPr>
        <w:t xml:space="preserve">Sponsored by Jake and Karen Abilevitz in memory of Jake’s Beloved Parents, </w:t>
      </w:r>
      <w:r>
        <w:rPr>
          <w:rFonts w:asciiTheme="majorBidi" w:hAnsiTheme="majorBidi" w:cstheme="majorBidi" w:hint="cs"/>
          <w:b/>
          <w:bCs/>
          <w:rtl/>
        </w:rPr>
        <w:t>אליהו בן אבא ז"ל &amp; לאה בת אברהם ז"ל</w:t>
      </w:r>
    </w:p>
    <w:p w:rsidR="0093453D" w:rsidRDefault="0093453D" w:rsidP="0093453D">
      <w:pPr>
        <w:jc w:val="center"/>
        <w:rPr>
          <w:rFonts w:asciiTheme="majorBidi" w:hAnsiTheme="majorBidi" w:cstheme="majorBidi"/>
          <w:b/>
          <w:bCs/>
        </w:rPr>
      </w:pPr>
      <w:r>
        <w:rPr>
          <w:rFonts w:asciiTheme="majorBidi" w:hAnsiTheme="majorBidi" w:cstheme="majorBidi"/>
          <w:b/>
          <w:bCs/>
        </w:rPr>
        <w:t xml:space="preserve">and Karen’s brother  </w:t>
      </w:r>
      <w:r>
        <w:rPr>
          <w:rFonts w:asciiTheme="majorBidi" w:hAnsiTheme="majorBidi" w:cstheme="majorBidi" w:hint="cs"/>
          <w:b/>
          <w:bCs/>
          <w:rtl/>
        </w:rPr>
        <w:t>יהושע בן שמעון דב ז"ל</w:t>
      </w:r>
    </w:p>
    <w:p w:rsidR="007242DB" w:rsidRPr="007242DB" w:rsidRDefault="007242DB" w:rsidP="0093453D">
      <w:pPr>
        <w:jc w:val="center"/>
        <w:rPr>
          <w:b/>
          <w:bCs/>
          <w:sz w:val="12"/>
          <w:szCs w:val="12"/>
          <w:u w:val="single"/>
          <w:rtl/>
        </w:rPr>
      </w:pPr>
    </w:p>
    <w:p w:rsidR="0093453D" w:rsidRPr="007242DB" w:rsidRDefault="0093453D" w:rsidP="00B148E1">
      <w:pPr>
        <w:jc w:val="center"/>
        <w:rPr>
          <w:b/>
          <w:bCs/>
          <w:u w:val="single"/>
        </w:rPr>
      </w:pPr>
      <w:r w:rsidRPr="007242DB">
        <w:rPr>
          <w:b/>
          <w:bCs/>
          <w:u w:val="single"/>
        </w:rPr>
        <w:t>1) Avos, Chapter 2, Mishna 1</w:t>
      </w:r>
      <w:r w:rsidR="00B148E1">
        <w:rPr>
          <w:b/>
          <w:bCs/>
          <w:u w:val="single"/>
        </w:rPr>
        <w:t>4</w:t>
      </w:r>
    </w:p>
    <w:tbl>
      <w:tblPr>
        <w:tblStyle w:val="TableGrid"/>
        <w:tblW w:w="0" w:type="auto"/>
        <w:tblLook w:val="04A0" w:firstRow="1" w:lastRow="0" w:firstColumn="1" w:lastColumn="0" w:noHBand="0" w:noVBand="1"/>
      </w:tblPr>
      <w:tblGrid>
        <w:gridCol w:w="6565"/>
        <w:gridCol w:w="4225"/>
      </w:tblGrid>
      <w:tr w:rsidR="0093453D" w:rsidTr="007242DB">
        <w:tc>
          <w:tcPr>
            <w:tcW w:w="6565" w:type="dxa"/>
          </w:tcPr>
          <w:p w:rsidR="001D5267" w:rsidRDefault="00E62C2E" w:rsidP="00E62C2E">
            <w:r>
              <w:t xml:space="preserve">R. ELEAZAR SAID: </w:t>
            </w:r>
          </w:p>
          <w:p w:rsidR="001D5267" w:rsidRDefault="00E62C2E" w:rsidP="001D5267">
            <w:pPr>
              <w:pStyle w:val="ListParagraph"/>
              <w:numPr>
                <w:ilvl w:val="0"/>
                <w:numId w:val="2"/>
              </w:numPr>
            </w:pPr>
            <w:r>
              <w:t>BE EAGER</w:t>
            </w:r>
            <w:r>
              <w:t xml:space="preserve"> TO STUDY THE TORAH;</w:t>
            </w:r>
            <w:r>
              <w:t xml:space="preserve"> </w:t>
            </w:r>
            <w:r>
              <w:t xml:space="preserve"> </w:t>
            </w:r>
          </w:p>
          <w:p w:rsidR="001D5267" w:rsidRDefault="00E62C2E" w:rsidP="001D5267">
            <w:pPr>
              <w:pStyle w:val="ListParagraph"/>
              <w:numPr>
                <w:ilvl w:val="0"/>
                <w:numId w:val="2"/>
              </w:numPr>
            </w:pPr>
            <w:r>
              <w:t>AND KNOW</w:t>
            </w:r>
            <w:r>
              <w:t xml:space="preserve"> </w:t>
            </w:r>
            <w:r>
              <w:t xml:space="preserve"> WHAT ANSWER THOU SHOULDST GIVE TO THE EPICUREAN,</w:t>
            </w:r>
            <w:r>
              <w:t xml:space="preserve">  </w:t>
            </w:r>
          </w:p>
          <w:p w:rsidR="001D5267" w:rsidRDefault="00E62C2E" w:rsidP="001D5267">
            <w:pPr>
              <w:pStyle w:val="ListParagraph"/>
              <w:numPr>
                <w:ilvl w:val="0"/>
                <w:numId w:val="2"/>
              </w:numPr>
            </w:pPr>
            <w:r>
              <w:t>AND KNOW BEFORE WHOM THOU TOIL</w:t>
            </w:r>
            <w:r>
              <w:t>,</w:t>
            </w:r>
            <w:r>
              <w:t xml:space="preserve"> </w:t>
            </w:r>
            <w:r>
              <w:t xml:space="preserve"> </w:t>
            </w:r>
          </w:p>
          <w:p w:rsidR="0093453D" w:rsidRDefault="00E62C2E" w:rsidP="001D5267">
            <w:pPr>
              <w:pStyle w:val="ListParagraph"/>
              <w:numPr>
                <w:ilvl w:val="0"/>
                <w:numId w:val="2"/>
              </w:numPr>
            </w:pPr>
            <w:r>
              <w:t>AND WHO</w:t>
            </w:r>
            <w:r>
              <w:t xml:space="preserve"> </w:t>
            </w:r>
            <w:r>
              <w:t xml:space="preserve"> IS THINE EMPLOYER</w:t>
            </w:r>
            <w:r>
              <w:t xml:space="preserve"> </w:t>
            </w:r>
            <w:r>
              <w:t>WHO WILL PAY THEE THE REWARD OF THY LABOUR.</w:t>
            </w:r>
          </w:p>
        </w:tc>
        <w:tc>
          <w:tcPr>
            <w:tcW w:w="4225" w:type="dxa"/>
          </w:tcPr>
          <w:p w:rsidR="001D5267" w:rsidRDefault="00B148E1" w:rsidP="00E62C2E">
            <w:pPr>
              <w:shd w:val="clear" w:color="auto" w:fill="FFFFFF"/>
              <w:jc w:val="right"/>
              <w:rPr>
                <w:rFonts w:ascii="Arial" w:eastAsia="Times New Roman" w:hAnsi="Arial" w:cs="Arial" w:hint="cs"/>
                <w:color w:val="222222"/>
                <w:rtl/>
              </w:rPr>
            </w:pPr>
            <w:r w:rsidRPr="00713A78">
              <w:rPr>
                <w:rFonts w:ascii="Arial" w:eastAsia="Times New Roman" w:hAnsi="Arial" w:cs="Arial"/>
                <w:color w:val="222222"/>
                <w:rtl/>
              </w:rPr>
              <w:t xml:space="preserve">רבי אלעזר אומר </w:t>
            </w:r>
          </w:p>
          <w:p w:rsidR="001D5267" w:rsidRDefault="00B148E1" w:rsidP="001D5267">
            <w:pPr>
              <w:pStyle w:val="ListParagraph"/>
              <w:numPr>
                <w:ilvl w:val="0"/>
                <w:numId w:val="1"/>
              </w:numPr>
              <w:shd w:val="clear" w:color="auto" w:fill="FFFFFF"/>
              <w:bidi/>
              <w:rPr>
                <w:rFonts w:ascii="Arial" w:eastAsia="Times New Roman" w:hAnsi="Arial" w:cs="Arial" w:hint="cs"/>
                <w:color w:val="222222"/>
              </w:rPr>
            </w:pPr>
            <w:r w:rsidRPr="001D5267">
              <w:rPr>
                <w:rFonts w:ascii="Arial" w:eastAsia="Times New Roman" w:hAnsi="Arial" w:cs="Arial"/>
                <w:color w:val="222222"/>
                <w:rtl/>
              </w:rPr>
              <w:t xml:space="preserve">הוי שקוד ללמוד תורה </w:t>
            </w:r>
          </w:p>
          <w:p w:rsidR="001D5267" w:rsidRDefault="00B148E1" w:rsidP="001D5267">
            <w:pPr>
              <w:pStyle w:val="ListParagraph"/>
              <w:numPr>
                <w:ilvl w:val="0"/>
                <w:numId w:val="1"/>
              </w:numPr>
              <w:shd w:val="clear" w:color="auto" w:fill="FFFFFF"/>
              <w:bidi/>
              <w:rPr>
                <w:rFonts w:ascii="Arial" w:eastAsia="Times New Roman" w:hAnsi="Arial" w:cs="Arial" w:hint="cs"/>
                <w:color w:val="222222"/>
              </w:rPr>
            </w:pPr>
            <w:r w:rsidRPr="001D5267">
              <w:rPr>
                <w:rFonts w:ascii="Arial" w:eastAsia="Times New Roman" w:hAnsi="Arial" w:cs="Arial"/>
                <w:color w:val="222222"/>
                <w:rtl/>
              </w:rPr>
              <w:t>ודע מה שתשיב לאפיקורוס</w:t>
            </w:r>
          </w:p>
          <w:p w:rsidR="001D5267" w:rsidRDefault="00B148E1" w:rsidP="001D5267">
            <w:pPr>
              <w:pStyle w:val="ListParagraph"/>
              <w:numPr>
                <w:ilvl w:val="0"/>
                <w:numId w:val="1"/>
              </w:numPr>
              <w:shd w:val="clear" w:color="auto" w:fill="FFFFFF"/>
              <w:bidi/>
              <w:rPr>
                <w:rFonts w:ascii="Arial" w:eastAsia="Times New Roman" w:hAnsi="Arial" w:cs="Arial" w:hint="cs"/>
                <w:color w:val="222222"/>
              </w:rPr>
            </w:pPr>
            <w:r w:rsidRPr="001D5267">
              <w:rPr>
                <w:rFonts w:ascii="Arial" w:eastAsia="Times New Roman" w:hAnsi="Arial" w:cs="Arial"/>
                <w:color w:val="222222"/>
                <w:rtl/>
              </w:rPr>
              <w:t xml:space="preserve"> ודע לפני מי אתה עמל </w:t>
            </w:r>
          </w:p>
          <w:p w:rsidR="00B148E1" w:rsidRPr="001D5267" w:rsidRDefault="00B148E1" w:rsidP="001D5267">
            <w:pPr>
              <w:pStyle w:val="ListParagraph"/>
              <w:numPr>
                <w:ilvl w:val="0"/>
                <w:numId w:val="1"/>
              </w:numPr>
              <w:shd w:val="clear" w:color="auto" w:fill="FFFFFF"/>
              <w:bidi/>
              <w:rPr>
                <w:rFonts w:ascii="Arial" w:eastAsia="Times New Roman" w:hAnsi="Arial" w:cs="Arial"/>
                <w:color w:val="222222"/>
              </w:rPr>
            </w:pPr>
            <w:r w:rsidRPr="001D5267">
              <w:rPr>
                <w:rFonts w:ascii="Arial" w:eastAsia="Times New Roman" w:hAnsi="Arial" w:cs="Arial"/>
                <w:color w:val="222222"/>
                <w:rtl/>
              </w:rPr>
              <w:t>ונאמן הוא בעל מלאכתך שישלם לך שכר פעולתך</w:t>
            </w:r>
          </w:p>
          <w:p w:rsidR="0093453D" w:rsidRDefault="0093453D" w:rsidP="007242DB">
            <w:pPr>
              <w:jc w:val="right"/>
            </w:pPr>
          </w:p>
        </w:tc>
      </w:tr>
    </w:tbl>
    <w:p w:rsidR="0093453D" w:rsidRDefault="0093453D">
      <w:pPr>
        <w:rPr>
          <w:sz w:val="12"/>
          <w:szCs w:val="12"/>
        </w:rPr>
      </w:pPr>
    </w:p>
    <w:p w:rsidR="00713A78" w:rsidRPr="001D5267" w:rsidRDefault="00713A78" w:rsidP="00713A78">
      <w:pPr>
        <w:shd w:val="clear" w:color="auto" w:fill="FFFFFF"/>
        <w:jc w:val="right"/>
        <w:rPr>
          <w:rFonts w:asciiTheme="majorBidi" w:eastAsia="Times New Roman" w:hAnsiTheme="majorBidi" w:cstheme="majorBidi"/>
          <w:b/>
          <w:bCs/>
          <w:color w:val="222222"/>
          <w:sz w:val="24"/>
          <w:szCs w:val="24"/>
          <w:u w:val="single"/>
        </w:rPr>
      </w:pPr>
      <w:r w:rsidRPr="001D5267">
        <w:rPr>
          <w:rFonts w:asciiTheme="majorBidi" w:eastAsia="Times New Roman" w:hAnsiTheme="majorBidi" w:cstheme="majorBidi" w:hint="cs"/>
          <w:b/>
          <w:bCs/>
          <w:color w:val="222222"/>
          <w:sz w:val="24"/>
          <w:szCs w:val="24"/>
          <w:u w:val="single"/>
          <w:rtl/>
        </w:rPr>
        <w:t xml:space="preserve">1) </w:t>
      </w:r>
      <w:r w:rsidRPr="001D5267">
        <w:rPr>
          <w:rFonts w:asciiTheme="majorBidi" w:eastAsia="Times New Roman" w:hAnsiTheme="majorBidi" w:cstheme="majorBidi"/>
          <w:b/>
          <w:bCs/>
          <w:color w:val="222222"/>
          <w:sz w:val="24"/>
          <w:szCs w:val="24"/>
          <w:u w:val="single"/>
          <w:rtl/>
        </w:rPr>
        <w:t>פירוש רש"י על אבות פרק ב</w:t>
      </w:r>
    </w:p>
    <w:p w:rsidR="00713A78" w:rsidRPr="00713A78" w:rsidRDefault="00713A78" w:rsidP="00713A78">
      <w:pPr>
        <w:shd w:val="clear" w:color="auto" w:fill="FFFFFF"/>
        <w:jc w:val="right"/>
        <w:rPr>
          <w:rFonts w:asciiTheme="majorBidi" w:eastAsia="Times New Roman" w:hAnsiTheme="majorBidi" w:cstheme="majorBidi"/>
          <w:color w:val="222222"/>
          <w:sz w:val="24"/>
          <w:szCs w:val="24"/>
        </w:rPr>
      </w:pPr>
      <w:r w:rsidRPr="00713A78">
        <w:rPr>
          <w:rFonts w:asciiTheme="majorBidi" w:eastAsia="Times New Roman" w:hAnsiTheme="majorBidi" w:cstheme="majorBidi"/>
          <w:color w:val="222222"/>
          <w:sz w:val="24"/>
          <w:szCs w:val="24"/>
          <w:rtl/>
        </w:rPr>
        <w:t>הוי שקוד כו' ודע מה שתשוב כו' ודע לפני מי אתה עמל ומי הוא בעל מלאכתך. הרי שלשה</w:t>
      </w:r>
      <w:r w:rsidRPr="00713A78">
        <w:rPr>
          <w:rFonts w:asciiTheme="majorBidi" w:eastAsia="Times New Roman" w:hAnsiTheme="majorBidi" w:cstheme="majorBidi"/>
          <w:color w:val="222222"/>
          <w:sz w:val="24"/>
          <w:szCs w:val="24"/>
        </w:rPr>
        <w:t>:</w:t>
      </w:r>
    </w:p>
    <w:p w:rsidR="00713A78" w:rsidRDefault="00713A78" w:rsidP="00713A78">
      <w:pPr>
        <w:shd w:val="clear" w:color="auto" w:fill="FFFFFF"/>
        <w:jc w:val="right"/>
        <w:rPr>
          <w:rFonts w:asciiTheme="majorBidi" w:eastAsia="Times New Roman" w:hAnsiTheme="majorBidi" w:cstheme="majorBidi"/>
          <w:color w:val="222222"/>
          <w:sz w:val="19"/>
          <w:szCs w:val="19"/>
        </w:rPr>
      </w:pPr>
    </w:p>
    <w:p w:rsidR="001D5267" w:rsidRPr="001D5267" w:rsidRDefault="001D5267" w:rsidP="00713A78">
      <w:pPr>
        <w:shd w:val="clear" w:color="auto" w:fill="FFFFFF"/>
        <w:jc w:val="right"/>
        <w:rPr>
          <w:rFonts w:asciiTheme="majorBidi" w:eastAsia="Times New Roman" w:hAnsiTheme="majorBidi" w:cstheme="majorBidi" w:hint="cs"/>
          <w:b/>
          <w:bCs/>
          <w:color w:val="222222"/>
          <w:sz w:val="24"/>
          <w:szCs w:val="24"/>
          <w:u w:val="single"/>
          <w:rtl/>
        </w:rPr>
      </w:pPr>
      <w:r w:rsidRPr="001D5267">
        <w:rPr>
          <w:rFonts w:asciiTheme="majorBidi" w:eastAsia="Times New Roman" w:hAnsiTheme="majorBidi" w:cstheme="majorBidi" w:hint="cs"/>
          <w:b/>
          <w:bCs/>
          <w:color w:val="222222"/>
          <w:sz w:val="24"/>
          <w:szCs w:val="24"/>
          <w:u w:val="single"/>
          <w:rtl/>
        </w:rPr>
        <w:t>2) מתיבתא</w:t>
      </w:r>
    </w:p>
    <w:p w:rsidR="001D5267" w:rsidRDefault="001D5267" w:rsidP="00713A78">
      <w:pPr>
        <w:shd w:val="clear" w:color="auto" w:fill="FFFFFF"/>
        <w:jc w:val="right"/>
        <w:rPr>
          <w:rFonts w:asciiTheme="majorBidi" w:eastAsia="Times New Roman" w:hAnsiTheme="majorBidi" w:cstheme="majorBidi"/>
          <w:color w:val="222222"/>
          <w:sz w:val="19"/>
          <w:szCs w:val="19"/>
        </w:rPr>
      </w:pPr>
      <w:r>
        <w:rPr>
          <w:rFonts w:hint="cs"/>
          <w:noProof/>
        </w:rPr>
        <w:drawing>
          <wp:inline distT="0" distB="0" distL="0" distR="0" wp14:anchorId="7BC9ED24" wp14:editId="0C9B7E0F">
            <wp:extent cx="1485900" cy="3000375"/>
            <wp:effectExtent l="4762" t="0" r="4763" b="4762"/>
            <wp:docPr id="23" name="Picture 23" descr="C:\Users\Marks\Downloads\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Downloads\IMG_422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0320" t="23006" r="47983" b="18552"/>
                    <a:stretch/>
                  </pic:blipFill>
                  <pic:spPr bwMode="auto">
                    <a:xfrm rot="5400000">
                      <a:off x="0" y="0"/>
                      <a:ext cx="1485900" cy="3000375"/>
                    </a:xfrm>
                    <a:prstGeom prst="rect">
                      <a:avLst/>
                    </a:prstGeom>
                    <a:noFill/>
                    <a:ln>
                      <a:noFill/>
                    </a:ln>
                    <a:extLst>
                      <a:ext uri="{53640926-AAD7-44D8-BBD7-CCE9431645EC}">
                        <a14:shadowObscured xmlns:a14="http://schemas.microsoft.com/office/drawing/2010/main"/>
                      </a:ext>
                    </a:extLst>
                  </pic:spPr>
                </pic:pic>
              </a:graphicData>
            </a:graphic>
          </wp:inline>
        </w:drawing>
      </w:r>
    </w:p>
    <w:p w:rsidR="001D5267" w:rsidRDefault="001D5267" w:rsidP="00713A78">
      <w:pPr>
        <w:shd w:val="clear" w:color="auto" w:fill="FFFFFF"/>
        <w:jc w:val="right"/>
        <w:rPr>
          <w:rFonts w:asciiTheme="majorBidi" w:eastAsia="Times New Roman" w:hAnsiTheme="majorBidi" w:cstheme="majorBidi" w:hint="cs"/>
          <w:color w:val="222222"/>
          <w:sz w:val="19"/>
          <w:szCs w:val="19"/>
          <w:rtl/>
        </w:rPr>
      </w:pPr>
    </w:p>
    <w:p w:rsidR="00A11074" w:rsidRPr="001D5267" w:rsidRDefault="00A11074" w:rsidP="00A11074">
      <w:pPr>
        <w:jc w:val="right"/>
        <w:rPr>
          <w:rFonts w:asciiTheme="majorBidi" w:hAnsiTheme="majorBidi" w:cstheme="majorBidi"/>
          <w:b/>
          <w:bCs/>
          <w:sz w:val="24"/>
          <w:szCs w:val="24"/>
          <w:u w:val="single"/>
        </w:rPr>
      </w:pPr>
      <w:r>
        <w:rPr>
          <w:rFonts w:asciiTheme="majorBidi" w:hAnsiTheme="majorBidi" w:cstheme="majorBidi" w:hint="cs"/>
          <w:b/>
          <w:bCs/>
          <w:sz w:val="24"/>
          <w:szCs w:val="24"/>
          <w:u w:val="single"/>
          <w:rtl/>
        </w:rPr>
        <w:t>3</w:t>
      </w:r>
      <w:r>
        <w:rPr>
          <w:rFonts w:asciiTheme="majorBidi" w:hAnsiTheme="majorBidi" w:cstheme="majorBidi" w:hint="cs"/>
          <w:b/>
          <w:bCs/>
          <w:sz w:val="24"/>
          <w:szCs w:val="24"/>
          <w:u w:val="single"/>
          <w:rtl/>
        </w:rPr>
        <w:t xml:space="preserve">) </w:t>
      </w:r>
      <w:r w:rsidRPr="001D5267">
        <w:rPr>
          <w:rFonts w:asciiTheme="majorBidi" w:hAnsiTheme="majorBidi" w:cstheme="majorBidi"/>
          <w:b/>
          <w:bCs/>
          <w:sz w:val="24"/>
          <w:szCs w:val="24"/>
          <w:u w:val="single"/>
          <w:rtl/>
        </w:rPr>
        <w:t>משנה מסכת סנהדרין פרק י</w:t>
      </w:r>
      <w:r w:rsidRPr="001D5267">
        <w:rPr>
          <w:rFonts w:asciiTheme="majorBidi" w:hAnsiTheme="majorBidi" w:cstheme="majorBidi" w:hint="cs"/>
          <w:b/>
          <w:bCs/>
          <w:sz w:val="24"/>
          <w:szCs w:val="24"/>
          <w:u w:val="single"/>
          <w:rtl/>
        </w:rPr>
        <w:t xml:space="preserve"> </w:t>
      </w:r>
      <w:r w:rsidRPr="001D5267">
        <w:rPr>
          <w:rFonts w:asciiTheme="majorBidi" w:hAnsiTheme="majorBidi" w:cstheme="majorBidi"/>
          <w:b/>
          <w:bCs/>
          <w:sz w:val="24"/>
          <w:szCs w:val="24"/>
          <w:u w:val="single"/>
          <w:rtl/>
        </w:rPr>
        <w:t>משנה א</w:t>
      </w:r>
    </w:p>
    <w:p w:rsidR="00A11074" w:rsidRPr="001D5267" w:rsidRDefault="00A11074" w:rsidP="00A11074">
      <w:pPr>
        <w:jc w:val="right"/>
        <w:rPr>
          <w:rFonts w:asciiTheme="majorBidi" w:hAnsiTheme="majorBidi" w:cstheme="majorBidi"/>
          <w:sz w:val="24"/>
          <w:szCs w:val="24"/>
        </w:rPr>
      </w:pPr>
      <w:r w:rsidRPr="001D5267">
        <w:rPr>
          <w:rFonts w:asciiTheme="majorBidi" w:hAnsiTheme="majorBidi" w:cstheme="majorBidi"/>
          <w:sz w:val="24"/>
          <w:szCs w:val="24"/>
          <w:rtl/>
        </w:rPr>
        <w:t>כל ישראל יש להם חלק לעולם הבא שנאמר (ישעיה ס') ועמך כולם צדיקים לעולם יירשו ארץ נצר מטעי מעשי ידי להתפאר ואלו שאין להם חלק לעולם הבא האומר אין תחיית המתים מן התורה ואין תורה מן השמים ואפיקורס רבי עקיבא אומר אף הקורא בספרים החיצונים והלוחש על המכה ואומר (שמות ט"ו) כל המחלה אשר שמתי במצרים לא אשים עליך כי אני ה' רפאך אבא שאול אומר אף ההוגה את השם באותיותיו</w:t>
      </w:r>
      <w:r w:rsidRPr="001D5267">
        <w:rPr>
          <w:rFonts w:asciiTheme="majorBidi" w:hAnsiTheme="majorBidi" w:cstheme="majorBidi"/>
          <w:sz w:val="24"/>
          <w:szCs w:val="24"/>
        </w:rPr>
        <w:t xml:space="preserve">: </w:t>
      </w:r>
    </w:p>
    <w:p w:rsidR="00A11074" w:rsidRPr="00A11074" w:rsidRDefault="00A11074" w:rsidP="00A11074">
      <w:pPr>
        <w:jc w:val="right"/>
        <w:rPr>
          <w:rFonts w:asciiTheme="majorBidi" w:hAnsiTheme="majorBidi" w:cstheme="majorBidi"/>
          <w:sz w:val="24"/>
          <w:szCs w:val="24"/>
          <w:rtl/>
        </w:rPr>
      </w:pPr>
    </w:p>
    <w:p w:rsidR="00A11074" w:rsidRPr="00A11074" w:rsidRDefault="00A11074" w:rsidP="00A11074">
      <w:pPr>
        <w:jc w:val="right"/>
        <w:rPr>
          <w:rFonts w:asciiTheme="majorBidi" w:hAnsiTheme="majorBidi" w:cstheme="majorBidi" w:hint="cs"/>
          <w:b/>
          <w:bCs/>
          <w:sz w:val="24"/>
          <w:szCs w:val="24"/>
          <w:u w:val="single"/>
        </w:rPr>
      </w:pPr>
      <w:r>
        <w:rPr>
          <w:rFonts w:asciiTheme="majorBidi" w:hAnsiTheme="majorBidi" w:cstheme="majorBidi" w:hint="cs"/>
          <w:b/>
          <w:bCs/>
          <w:sz w:val="24"/>
          <w:szCs w:val="24"/>
          <w:u w:val="single"/>
          <w:rtl/>
        </w:rPr>
        <w:t>4</w:t>
      </w:r>
      <w:r>
        <w:rPr>
          <w:rFonts w:asciiTheme="majorBidi" w:hAnsiTheme="majorBidi" w:cstheme="majorBidi" w:hint="cs"/>
          <w:b/>
          <w:bCs/>
          <w:sz w:val="24"/>
          <w:szCs w:val="24"/>
          <w:u w:val="single"/>
          <w:rtl/>
        </w:rPr>
        <w:t xml:space="preserve">) </w:t>
      </w:r>
      <w:r w:rsidRPr="00A11074">
        <w:rPr>
          <w:rFonts w:asciiTheme="majorBidi" w:hAnsiTheme="majorBidi" w:cstheme="majorBidi"/>
          <w:b/>
          <w:bCs/>
          <w:sz w:val="24"/>
          <w:szCs w:val="24"/>
          <w:u w:val="single"/>
          <w:rtl/>
        </w:rPr>
        <w:t>תלמוד בבלי מסכת סנהדרין דף צט עמוד ב</w:t>
      </w:r>
    </w:p>
    <w:p w:rsidR="00A11074" w:rsidRDefault="00A11074" w:rsidP="00A11074">
      <w:pPr>
        <w:jc w:val="right"/>
        <w:rPr>
          <w:rFonts w:asciiTheme="majorBidi" w:hAnsiTheme="majorBidi" w:cstheme="majorBidi" w:hint="cs"/>
          <w:sz w:val="24"/>
          <w:szCs w:val="24"/>
          <w:rtl/>
        </w:rPr>
      </w:pPr>
      <w:r w:rsidRPr="00A11074">
        <w:rPr>
          <w:rFonts w:asciiTheme="majorBidi" w:hAnsiTheme="majorBidi" w:cstheme="majorBidi"/>
          <w:sz w:val="24"/>
          <w:szCs w:val="24"/>
        </w:rPr>
        <w:t xml:space="preserve">  </w:t>
      </w:r>
      <w:r w:rsidRPr="00A11074">
        <w:rPr>
          <w:rFonts w:asciiTheme="majorBidi" w:hAnsiTheme="majorBidi" w:cstheme="majorBidi"/>
          <w:sz w:val="24"/>
          <w:szCs w:val="24"/>
          <w:rtl/>
        </w:rPr>
        <w:t>אפיקורוס. רב ורבי חנינא אמרי תרוייהו: זה המבזה תלמיד חכם. רבי יוחנן ורבי יהושע בן לוי אמרי: זה המבזה חבירו בפני תלמיד חכם</w:t>
      </w:r>
    </w:p>
    <w:p w:rsidR="00A11074" w:rsidRDefault="00A11074" w:rsidP="00713A78">
      <w:pPr>
        <w:shd w:val="clear" w:color="auto" w:fill="FFFFFF"/>
        <w:jc w:val="right"/>
        <w:rPr>
          <w:rFonts w:asciiTheme="majorBidi" w:eastAsia="Times New Roman" w:hAnsiTheme="majorBidi" w:cstheme="majorBidi" w:hint="cs"/>
          <w:color w:val="222222"/>
          <w:sz w:val="19"/>
          <w:szCs w:val="19"/>
          <w:rtl/>
        </w:rPr>
      </w:pPr>
    </w:p>
    <w:p w:rsidR="00A11074" w:rsidRPr="001D5267" w:rsidRDefault="00A11074" w:rsidP="00A11074">
      <w:pPr>
        <w:jc w:val="right"/>
        <w:rPr>
          <w:rFonts w:asciiTheme="majorBidi" w:hAnsiTheme="majorBidi" w:cstheme="majorBidi"/>
          <w:b/>
          <w:bCs/>
          <w:sz w:val="24"/>
          <w:szCs w:val="24"/>
          <w:u w:val="single"/>
        </w:rPr>
      </w:pPr>
      <w:r>
        <w:rPr>
          <w:rFonts w:asciiTheme="majorBidi" w:hAnsiTheme="majorBidi" w:cstheme="majorBidi" w:hint="cs"/>
          <w:b/>
          <w:bCs/>
          <w:sz w:val="24"/>
          <w:szCs w:val="24"/>
          <w:u w:val="single"/>
          <w:rtl/>
        </w:rPr>
        <w:t>5</w:t>
      </w:r>
      <w:r>
        <w:rPr>
          <w:rFonts w:asciiTheme="majorBidi" w:hAnsiTheme="majorBidi" w:cstheme="majorBidi" w:hint="cs"/>
          <w:b/>
          <w:bCs/>
          <w:sz w:val="24"/>
          <w:szCs w:val="24"/>
          <w:u w:val="single"/>
          <w:rtl/>
        </w:rPr>
        <w:t xml:space="preserve">) </w:t>
      </w:r>
      <w:r w:rsidRPr="001D5267">
        <w:rPr>
          <w:rFonts w:asciiTheme="majorBidi" w:hAnsiTheme="majorBidi" w:cstheme="majorBidi"/>
          <w:b/>
          <w:bCs/>
          <w:sz w:val="24"/>
          <w:szCs w:val="24"/>
          <w:u w:val="single"/>
          <w:rtl/>
        </w:rPr>
        <w:t>פירוש המשנה לרמב"ם מסכת סנהדרין פרק י</w:t>
      </w:r>
    </w:p>
    <w:p w:rsidR="00A11074" w:rsidRDefault="00A11074" w:rsidP="00A11074">
      <w:pPr>
        <w:shd w:val="clear" w:color="auto" w:fill="FFFFFF"/>
        <w:jc w:val="right"/>
        <w:rPr>
          <w:rFonts w:asciiTheme="majorBidi" w:hAnsiTheme="majorBidi" w:cstheme="majorBidi" w:hint="cs"/>
          <w:sz w:val="24"/>
          <w:szCs w:val="24"/>
          <w:rtl/>
        </w:rPr>
      </w:pPr>
      <w:r w:rsidRPr="001D5267">
        <w:rPr>
          <w:rFonts w:asciiTheme="majorBidi" w:hAnsiTheme="majorBidi" w:cstheme="majorBidi"/>
          <w:sz w:val="24"/>
          <w:szCs w:val="24"/>
          <w:rtl/>
        </w:rPr>
        <w:t>ומלת אפיקורוס, היא מלת ארמית ענינה ההקלה והזלזול בתורה או בחכמי התורה, ולפיכך מניחים שם זה בסתם על מי שאינו מאמין ביסודות התורה או מבזה את החכמים או איזה תלמיד חכמים שיהיה או רבו</w:t>
      </w:r>
    </w:p>
    <w:p w:rsidR="00A11074" w:rsidRDefault="00A11074" w:rsidP="00A11074">
      <w:pPr>
        <w:shd w:val="clear" w:color="auto" w:fill="FFFFFF"/>
        <w:jc w:val="right"/>
        <w:rPr>
          <w:rFonts w:asciiTheme="majorBidi" w:eastAsia="Times New Roman" w:hAnsiTheme="majorBidi" w:cstheme="majorBidi" w:hint="cs"/>
          <w:color w:val="222222"/>
          <w:sz w:val="19"/>
          <w:szCs w:val="19"/>
          <w:rtl/>
        </w:rPr>
      </w:pPr>
    </w:p>
    <w:p w:rsidR="00A11074" w:rsidRPr="001D5267" w:rsidRDefault="00A11074" w:rsidP="00A11074">
      <w:pPr>
        <w:shd w:val="clear" w:color="auto" w:fill="FFFFFF"/>
        <w:jc w:val="right"/>
        <w:rPr>
          <w:rFonts w:asciiTheme="majorBidi" w:eastAsia="Times New Roman" w:hAnsiTheme="majorBidi" w:cstheme="majorBidi"/>
          <w:b/>
          <w:bCs/>
          <w:color w:val="222222"/>
          <w:sz w:val="24"/>
          <w:szCs w:val="24"/>
          <w:u w:val="single"/>
        </w:rPr>
      </w:pPr>
      <w:r>
        <w:rPr>
          <w:rFonts w:asciiTheme="majorBidi" w:eastAsia="Times New Roman" w:hAnsiTheme="majorBidi" w:cstheme="majorBidi" w:hint="cs"/>
          <w:b/>
          <w:bCs/>
          <w:color w:val="222222"/>
          <w:sz w:val="24"/>
          <w:szCs w:val="24"/>
          <w:u w:val="single"/>
          <w:rtl/>
        </w:rPr>
        <w:t xml:space="preserve">6) </w:t>
      </w:r>
      <w:r w:rsidRPr="001D5267">
        <w:rPr>
          <w:rFonts w:asciiTheme="majorBidi" w:eastAsia="Times New Roman" w:hAnsiTheme="majorBidi" w:cstheme="majorBidi"/>
          <w:b/>
          <w:bCs/>
          <w:color w:val="222222"/>
          <w:sz w:val="24"/>
          <w:szCs w:val="24"/>
          <w:u w:val="single"/>
          <w:rtl/>
        </w:rPr>
        <w:t>פירוש המשנה לרמב"ם מסכת אבות פרק ב</w:t>
      </w:r>
    </w:p>
    <w:p w:rsidR="00A11074" w:rsidRPr="00713A78" w:rsidRDefault="00A11074" w:rsidP="00A11074">
      <w:pPr>
        <w:shd w:val="clear" w:color="auto" w:fill="FFFFFF"/>
        <w:jc w:val="right"/>
        <w:rPr>
          <w:rFonts w:asciiTheme="majorBidi" w:eastAsia="Times New Roman" w:hAnsiTheme="majorBidi" w:cstheme="majorBidi"/>
          <w:color w:val="222222"/>
          <w:sz w:val="24"/>
          <w:szCs w:val="24"/>
        </w:rPr>
      </w:pPr>
      <w:r w:rsidRPr="00713A78">
        <w:rPr>
          <w:rFonts w:asciiTheme="majorBidi" w:eastAsia="Times New Roman" w:hAnsiTheme="majorBidi" w:cstheme="majorBidi"/>
          <w:color w:val="222222"/>
          <w:sz w:val="24"/>
          <w:szCs w:val="24"/>
          <w:rtl/>
        </w:rPr>
        <w:t>יג] אמר: למד דברים שתשיב בהם על האפיקורוסים מן האומות, ותתווכח עמהם ותענה להם אם יקשו לך. ואמרו: "לא שנו אלא אפיקורוס גוי, אבל ישראל כל שכן דפקר", רצונו לומר: שהוא יוסיף זלזול ולגלוג, ולפיכך אין ראוי לדון עמו כלל, לפי שהוא לא יתוקן, ואין לו רפואה כלל, "כל באיה לא ישובון ולא י(ס)[ש]יגו אורחות חיים" +משלי ב יט+. ואמר, ועם היותך לומד דעות האומות כדי שתדע איך תשיב עליהם, היזהר שלא ידבק בדעתך דבר מזה, ודע כי אשר תעבוד לפניו ידע צפונותיך, והוא אומרו: ודע לפני מי אתה עמל</w:t>
      </w:r>
    </w:p>
    <w:p w:rsidR="00A11074" w:rsidRDefault="00A11074" w:rsidP="00A11074">
      <w:pPr>
        <w:shd w:val="clear" w:color="auto" w:fill="FFFFFF"/>
        <w:jc w:val="right"/>
        <w:rPr>
          <w:rFonts w:asciiTheme="majorBidi" w:eastAsia="Times New Roman" w:hAnsiTheme="majorBidi" w:cstheme="majorBidi" w:hint="cs"/>
          <w:color w:val="222222"/>
          <w:sz w:val="19"/>
          <w:szCs w:val="19"/>
          <w:rtl/>
        </w:rPr>
      </w:pPr>
    </w:p>
    <w:p w:rsidR="001D5267" w:rsidRPr="001D5267" w:rsidRDefault="00A11074" w:rsidP="001D5267">
      <w:pPr>
        <w:shd w:val="clear" w:color="auto" w:fill="FFFFFF"/>
        <w:jc w:val="right"/>
        <w:rPr>
          <w:rFonts w:asciiTheme="majorBidi" w:eastAsia="Times New Roman" w:hAnsiTheme="majorBidi" w:cstheme="majorBidi" w:hint="cs"/>
          <w:b/>
          <w:bCs/>
          <w:color w:val="222222"/>
          <w:sz w:val="24"/>
          <w:szCs w:val="24"/>
          <w:u w:val="single"/>
        </w:rPr>
      </w:pPr>
      <w:r>
        <w:rPr>
          <w:rFonts w:asciiTheme="majorBidi" w:eastAsia="Times New Roman" w:hAnsiTheme="majorBidi" w:cstheme="majorBidi" w:hint="cs"/>
          <w:b/>
          <w:bCs/>
          <w:color w:val="222222"/>
          <w:sz w:val="24"/>
          <w:szCs w:val="24"/>
          <w:u w:val="single"/>
          <w:rtl/>
        </w:rPr>
        <w:t>7</w:t>
      </w:r>
      <w:r w:rsidR="001D5267" w:rsidRPr="001D5267">
        <w:rPr>
          <w:rFonts w:asciiTheme="majorBidi" w:eastAsia="Times New Roman" w:hAnsiTheme="majorBidi" w:cstheme="majorBidi" w:hint="cs"/>
          <w:b/>
          <w:bCs/>
          <w:color w:val="222222"/>
          <w:sz w:val="24"/>
          <w:szCs w:val="24"/>
          <w:u w:val="single"/>
          <w:rtl/>
        </w:rPr>
        <w:t xml:space="preserve">) </w:t>
      </w:r>
      <w:r w:rsidR="001D5267" w:rsidRPr="001D5267">
        <w:rPr>
          <w:rFonts w:asciiTheme="majorBidi" w:eastAsia="Times New Roman" w:hAnsiTheme="majorBidi" w:cstheme="majorBidi"/>
          <w:b/>
          <w:bCs/>
          <w:color w:val="222222"/>
          <w:sz w:val="24"/>
          <w:szCs w:val="24"/>
          <w:u w:val="single"/>
          <w:rtl/>
        </w:rPr>
        <w:t>פירוש רבינו יונה על אבות פרק ב</w:t>
      </w:r>
    </w:p>
    <w:p w:rsidR="001D5267" w:rsidRDefault="001D5267" w:rsidP="001D5267">
      <w:pPr>
        <w:shd w:val="clear" w:color="auto" w:fill="FFFFFF"/>
        <w:jc w:val="right"/>
        <w:rPr>
          <w:rFonts w:asciiTheme="majorBidi" w:eastAsia="Times New Roman" w:hAnsiTheme="majorBidi" w:cstheme="majorBidi"/>
          <w:color w:val="222222"/>
          <w:sz w:val="24"/>
          <w:szCs w:val="24"/>
        </w:rPr>
      </w:pPr>
      <w:r w:rsidRPr="00713A78">
        <w:rPr>
          <w:rFonts w:asciiTheme="majorBidi" w:eastAsia="Times New Roman" w:hAnsiTheme="majorBidi" w:cstheme="majorBidi"/>
          <w:color w:val="222222"/>
          <w:sz w:val="24"/>
          <w:szCs w:val="24"/>
          <w:rtl/>
        </w:rPr>
        <w:t>רבי אלעזר אומר הוי שקוד ללמוד תורה ודע מה שתשיב את אפיקורוס - שיקבע עצמו ללמוד תורה כדי שידע להשיב על דברי האפיקורוס</w:t>
      </w:r>
      <w:r>
        <w:rPr>
          <w:rFonts w:asciiTheme="majorBidi" w:eastAsia="Times New Roman" w:hAnsiTheme="majorBidi" w:cstheme="majorBidi" w:hint="cs"/>
          <w:color w:val="222222"/>
          <w:sz w:val="24"/>
          <w:szCs w:val="24"/>
          <w:rtl/>
        </w:rPr>
        <w:t xml:space="preserve"> </w:t>
      </w:r>
      <w:r w:rsidRPr="00713A78">
        <w:rPr>
          <w:rFonts w:asciiTheme="majorBidi" w:eastAsia="Times New Roman" w:hAnsiTheme="majorBidi" w:cstheme="majorBidi"/>
          <w:color w:val="222222"/>
          <w:sz w:val="24"/>
          <w:szCs w:val="24"/>
          <w:rtl/>
        </w:rPr>
        <w:t xml:space="preserve"> שאם לא ישיבוהו כפי טענותיו ושקריו ילמדו העולם מהם וישתו מים הרעים בראותם כי נוצח אותו ונמצא שם שמים מתחלל ואפיקורוס שבכאן הוא כופר בתורה שבעל פה והוא הדין למורים שלא כהלכה. ולשון הפקר הוא</w:t>
      </w:r>
    </w:p>
    <w:p w:rsidR="00713A78" w:rsidRDefault="00713A78" w:rsidP="00713A78">
      <w:pPr>
        <w:shd w:val="clear" w:color="auto" w:fill="FFFFFF"/>
        <w:jc w:val="right"/>
        <w:rPr>
          <w:rFonts w:asciiTheme="majorBidi" w:eastAsia="Times New Roman" w:hAnsiTheme="majorBidi" w:cstheme="majorBidi" w:hint="cs"/>
          <w:color w:val="222222"/>
          <w:sz w:val="24"/>
          <w:szCs w:val="24"/>
          <w:rtl/>
        </w:rPr>
      </w:pPr>
    </w:p>
    <w:p w:rsidR="00A11074" w:rsidRPr="00A11074" w:rsidRDefault="00A11074" w:rsidP="00A11074">
      <w:pPr>
        <w:jc w:val="right"/>
        <w:rPr>
          <w:rFonts w:asciiTheme="majorBidi" w:hAnsiTheme="majorBidi" w:cstheme="majorBidi"/>
          <w:sz w:val="24"/>
          <w:szCs w:val="24"/>
        </w:rPr>
      </w:pPr>
    </w:p>
    <w:p w:rsidR="001D5267" w:rsidRPr="001D5267" w:rsidRDefault="001D5267" w:rsidP="001D5267">
      <w:pPr>
        <w:jc w:val="right"/>
        <w:rPr>
          <w:rFonts w:asciiTheme="majorBidi" w:hAnsiTheme="majorBidi" w:cstheme="majorBidi"/>
          <w:sz w:val="24"/>
          <w:szCs w:val="24"/>
        </w:rPr>
      </w:pPr>
      <w:r w:rsidRPr="001D5267">
        <w:rPr>
          <w:rFonts w:asciiTheme="majorBidi" w:hAnsiTheme="majorBidi" w:cstheme="majorBidi"/>
          <w:sz w:val="24"/>
          <w:szCs w:val="24"/>
        </w:rPr>
        <w:t>.</w:t>
      </w:r>
    </w:p>
    <w:p w:rsidR="001D5267" w:rsidRPr="001D5267" w:rsidRDefault="001D5267" w:rsidP="001D5267">
      <w:pPr>
        <w:shd w:val="clear" w:color="auto" w:fill="FFFFFF"/>
        <w:jc w:val="right"/>
        <w:rPr>
          <w:rFonts w:asciiTheme="majorBidi" w:eastAsia="Times New Roman" w:hAnsiTheme="majorBidi" w:cstheme="majorBidi"/>
          <w:color w:val="222222"/>
          <w:sz w:val="28"/>
          <w:szCs w:val="28"/>
          <w:rtl/>
        </w:rPr>
      </w:pPr>
    </w:p>
    <w:p w:rsidR="00C32B1F" w:rsidRDefault="00C32B1F" w:rsidP="00C32B1F">
      <w:pPr>
        <w:jc w:val="right"/>
        <w:rPr>
          <w:rFonts w:asciiTheme="majorBidi" w:hAnsiTheme="majorBidi" w:cstheme="majorBidi"/>
          <w:b/>
          <w:bCs/>
          <w:sz w:val="24"/>
          <w:szCs w:val="24"/>
          <w:u w:val="single"/>
        </w:rPr>
      </w:pPr>
      <w:r>
        <w:rPr>
          <w:rFonts w:asciiTheme="majorBidi" w:hAnsiTheme="majorBidi" w:cstheme="majorBidi" w:hint="cs"/>
          <w:b/>
          <w:bCs/>
          <w:sz w:val="24"/>
          <w:szCs w:val="24"/>
          <w:u w:val="single"/>
          <w:rtl/>
        </w:rPr>
        <w:lastRenderedPageBreak/>
        <w:t xml:space="preserve">8) </w:t>
      </w:r>
      <w:r w:rsidRPr="00C32B1F">
        <w:rPr>
          <w:rFonts w:asciiTheme="majorBidi" w:hAnsiTheme="majorBidi" w:cstheme="majorBidi"/>
          <w:b/>
          <w:bCs/>
          <w:sz w:val="24"/>
          <w:szCs w:val="24"/>
          <w:u w:val="single"/>
          <w:rtl/>
        </w:rPr>
        <w:t>מגן אבות לרשב"ץ על אבות פרק ב</w:t>
      </w:r>
    </w:p>
    <w:p w:rsidR="00C32B1F" w:rsidRDefault="00C32B1F" w:rsidP="0076769B">
      <w:pPr>
        <w:rPr>
          <w:rFonts w:asciiTheme="majorBidi" w:hAnsiTheme="majorBidi" w:cstheme="majorBidi"/>
          <w:i/>
          <w:iCs/>
          <w:sz w:val="24"/>
          <w:szCs w:val="24"/>
        </w:rPr>
      </w:pPr>
      <w:r w:rsidRPr="00C32B1F">
        <w:rPr>
          <w:rFonts w:asciiTheme="majorBidi" w:hAnsiTheme="majorBidi" w:cstheme="majorBidi"/>
          <w:i/>
          <w:iCs/>
          <w:sz w:val="24"/>
          <w:szCs w:val="24"/>
        </w:rPr>
        <w:t>Simeon ben Zemah Duran, also Tzemach Duran (1361–1444) known as Rashbatz (</w:t>
      </w:r>
      <w:r w:rsidRPr="00C32B1F">
        <w:rPr>
          <w:rFonts w:asciiTheme="majorBidi" w:hAnsiTheme="majorBidi" w:cs="Times New Roman"/>
          <w:i/>
          <w:iCs/>
          <w:sz w:val="24"/>
          <w:szCs w:val="24"/>
          <w:rtl/>
        </w:rPr>
        <w:t>רשב"ץ</w:t>
      </w:r>
      <w:r w:rsidRPr="00C32B1F">
        <w:rPr>
          <w:rFonts w:asciiTheme="majorBidi" w:hAnsiTheme="majorBidi" w:cstheme="majorBidi"/>
          <w:i/>
          <w:iCs/>
          <w:sz w:val="24"/>
          <w:szCs w:val="24"/>
        </w:rPr>
        <w:t>) or Tashbatz was a Rabbinical authority, student of philosophy, astronomy, mathematics, and especially of medicine, which he practised for a number of years at Palma (de Majorca). A major 15th century posek, his published decisions in matters of halacha have been widely quoted in halachic l</w:t>
      </w:r>
      <w:r w:rsidR="0076769B">
        <w:rPr>
          <w:rFonts w:asciiTheme="majorBidi" w:hAnsiTheme="majorBidi" w:cstheme="majorBidi"/>
          <w:i/>
          <w:iCs/>
          <w:sz w:val="24"/>
          <w:szCs w:val="24"/>
        </w:rPr>
        <w:t xml:space="preserve">iterature for hundreds of years - Wikipedia </w:t>
      </w:r>
    </w:p>
    <w:p w:rsidR="00C32B1F" w:rsidRPr="00C32B1F" w:rsidRDefault="00C32B1F" w:rsidP="00C32B1F">
      <w:pPr>
        <w:rPr>
          <w:rFonts w:asciiTheme="majorBidi" w:hAnsiTheme="majorBidi" w:cstheme="majorBidi"/>
          <w:i/>
          <w:iCs/>
          <w:sz w:val="24"/>
          <w:szCs w:val="24"/>
        </w:rPr>
      </w:pPr>
    </w:p>
    <w:p w:rsidR="00C32B1F" w:rsidRPr="00C32B1F" w:rsidRDefault="00C32B1F" w:rsidP="00C32B1F">
      <w:pPr>
        <w:jc w:val="right"/>
        <w:rPr>
          <w:rFonts w:asciiTheme="majorBidi" w:hAnsiTheme="majorBidi" w:cstheme="majorBidi"/>
          <w:sz w:val="24"/>
          <w:szCs w:val="24"/>
        </w:rPr>
      </w:pPr>
      <w:r w:rsidRPr="00C32B1F">
        <w:rPr>
          <w:rFonts w:asciiTheme="majorBidi" w:hAnsiTheme="majorBidi" w:cstheme="majorBidi"/>
          <w:sz w:val="24"/>
          <w:szCs w:val="24"/>
          <w:rtl/>
        </w:rPr>
        <w:t>ודע מה שתשיב את אפיקורוס מכאן נהגנו היתר בעצמנו ללמוד החכמות ההם, כדי שמדברי עצמם נשיבם לומר להם כי אין להם ראיות לסתור דברי תורה ונביאים. ואין זה בכלל מה שאמרו, הקורא בספרים החיצוניים, אין לו חלק לעולם הבא, כי כבר פירשו בגמרא פרק חלק [סנהדרין ק ב], כגון ספרי בן סירא, וכן בירושלמי אמרו [סנהדרין פ"י הל"א כח - א], כגון ספרי בן לענה, והם ספרים מלאים תעתועים כהכרת הפנים. וכמו ספרי הערב מדברי הימים וכן ספרי מינים שאין בהם חכמה, אלא אבוד זמן וכן מה שאסרו ללמוד חכמה יונית, כמו שנזכר בפרק מרובה [ב"ק פג א] ואחרון מסוטה [מט ב], לא אמרו זה על חכמה שהיא על דרך חקירה שכלית, אלא על החכמה שהיתה נוהגת באותו זמן לדבר בלשון רמיזה, כמו שהוא נראה בראשון מחגיגה [ה ב]. ואף חכמה זו מותרת היתה, אלא מפני אותו מעשה הנזכר במנחות פרק ר' ישמעאל [סד ב], ועל אותו מעשה אמרו, ארור המלמד את בנו חכמה יונית והמגדל חזירים. ומה שאמרו בברכות [כח ב] בפרק תפלת השחר מנעו בניכם מן ההגיון אינו חכמת א"ל מנט"ק</w:t>
      </w:r>
    </w:p>
    <w:p w:rsidR="00C32B1F" w:rsidRDefault="00C32B1F" w:rsidP="00C32B1F">
      <w:pPr>
        <w:jc w:val="right"/>
        <w:rPr>
          <w:rFonts w:asciiTheme="majorBidi" w:hAnsiTheme="majorBidi" w:cstheme="majorBidi" w:hint="cs"/>
          <w:sz w:val="24"/>
          <w:szCs w:val="24"/>
          <w:rtl/>
        </w:rPr>
      </w:pPr>
    </w:p>
    <w:p w:rsidR="00C32B1F" w:rsidRDefault="00C32B1F" w:rsidP="00C32B1F">
      <w:pPr>
        <w:jc w:val="right"/>
        <w:rPr>
          <w:rFonts w:asciiTheme="majorBidi" w:hAnsiTheme="majorBidi" w:cstheme="majorBidi" w:hint="cs"/>
          <w:sz w:val="24"/>
          <w:szCs w:val="24"/>
          <w:rtl/>
        </w:rPr>
      </w:pPr>
      <w:r w:rsidRPr="00C32B1F">
        <w:rPr>
          <w:rFonts w:asciiTheme="majorBidi" w:hAnsiTheme="majorBidi" w:cstheme="majorBidi"/>
          <w:sz w:val="24"/>
          <w:szCs w:val="24"/>
        </w:rPr>
        <w:t xml:space="preserve">  </w:t>
      </w:r>
      <w:r w:rsidRPr="00C32B1F">
        <w:rPr>
          <w:rFonts w:asciiTheme="majorBidi" w:hAnsiTheme="majorBidi" w:cstheme="majorBidi"/>
          <w:sz w:val="24"/>
          <w:szCs w:val="24"/>
          <w:rtl/>
        </w:rPr>
        <w:t>כי רש"י ז"ל פירש, הגיון שיחה בטלה. ובירושלמי פרק במה אשה [שבת פ"ו מ"ד ז - ד], ר' אבהו בשם ר' יוחנן, מותר אדם ללמד את בתו יונית מפני שהוא תכשיט לה, שמע שמעון בר (בא) [אבא] ואמר, בגין דר' אבהו בעי מלפא בנתיה יונית, הוא תלי לה בר' יוחנן שמע ר' אבהו ואמר, יבא עלי אם לא שמעתי מר' יוחנן. אבל הספרים המחוברים על דרכי הראיות, אינן בכלל זה, והקורא בהם יקבל מהם האמת וישקוד ללמוד להשיב במה שהוא כנגד התורה וכמו שאמרו על ר' מאיר כשלמד מאלישע אחר, רימון מצא, תוכו אכל, קליפתו זרק, בפרק אין דורשין [חגיגה טו ב]...</w:t>
      </w:r>
    </w:p>
    <w:p w:rsidR="00C32B1F" w:rsidRPr="00C32B1F" w:rsidRDefault="00C32B1F" w:rsidP="00C32B1F">
      <w:pPr>
        <w:jc w:val="right"/>
        <w:rPr>
          <w:rFonts w:asciiTheme="majorBidi" w:hAnsiTheme="majorBidi" w:cstheme="majorBidi"/>
          <w:sz w:val="24"/>
          <w:szCs w:val="24"/>
          <w:rtl/>
        </w:rPr>
      </w:pPr>
    </w:p>
    <w:p w:rsidR="00C32B1F" w:rsidRPr="00C32B1F" w:rsidRDefault="00C32B1F" w:rsidP="00C32B1F">
      <w:pPr>
        <w:jc w:val="right"/>
        <w:rPr>
          <w:rFonts w:asciiTheme="majorBidi" w:hAnsiTheme="majorBidi" w:cstheme="majorBidi"/>
          <w:sz w:val="24"/>
          <w:szCs w:val="24"/>
          <w:rtl/>
        </w:rPr>
      </w:pPr>
      <w:r w:rsidRPr="00C32B1F">
        <w:rPr>
          <w:rFonts w:asciiTheme="majorBidi" w:hAnsiTheme="majorBidi" w:cstheme="majorBidi"/>
          <w:sz w:val="24"/>
          <w:szCs w:val="24"/>
          <w:rtl/>
        </w:rPr>
        <w:t xml:space="preserve"> ובזמננו זה אנו שוקדים ללמוד תורה להשיב את שתי האומות הבאות אחר חתימת התלמוד, ואעפ"י שהאומה הראשונה כבר היתה בימי רז"ל, שהם אמרו בפרק ראשון מע"ז [ו ב], לדברי ר' ישמעאל, נצרי לעולם אסור לשאת ולתת עמו, שהיה אומר ג' ימים לפני אידיהן וג' לאחריהן, והן עושין יום אחד בשבת, יום איד. וכן אמרו בתעניות בפרק בשלשה פרקים [כז ב], שאנשי משמר לא היו מתענים במוצאי שבת מפני הנצרים ואעפ"י שדברי שתי האומות הם הבל מעשה תעתועים, כי הם הודו מה שלא הודו המתפקרים הראשונים כי תורתנו היא מן השמים, ואחר שהודו כן, איולת היא להם וכלימה אם אינם מחזיקים בה, ודי להם תשובה לטעותם בזה, אבל אנחנו חייבים לשקוד על דלתות התורה להשיב להם כנגד טענותיהם, כמו שמצינו שחכמי יון האחרונים הוצרכו להתחזק להשיב טענות הראשונים שהיו מכחישים התנועה, והרבו ראיות לאמת התנועה, אעפ"י שהיא גלויה ומפורסמת, כדי לבטל טענות המכחישים אותה, כן אנחנו עם שתי האומות, חייבים לשקוד על התורה להכחיש טענותיהם. ולזה נהגנו היתר בעצמנו לקרות ספר שבושיהם, כדי שתצא לנו תשובה נצחת כנגדם מדברי עצמם... </w:t>
      </w:r>
    </w:p>
    <w:p w:rsidR="00C32B1F" w:rsidRPr="00C32B1F" w:rsidRDefault="00C32B1F" w:rsidP="00C32B1F">
      <w:pPr>
        <w:jc w:val="right"/>
        <w:rPr>
          <w:rFonts w:asciiTheme="majorBidi" w:hAnsiTheme="majorBidi" w:cstheme="majorBidi"/>
          <w:sz w:val="24"/>
          <w:szCs w:val="24"/>
        </w:rPr>
      </w:pPr>
      <w:r w:rsidRPr="00C32B1F">
        <w:rPr>
          <w:rFonts w:asciiTheme="majorBidi" w:hAnsiTheme="majorBidi" w:cstheme="majorBidi"/>
          <w:sz w:val="24"/>
          <w:szCs w:val="24"/>
        </w:rPr>
        <w:t>.</w:t>
      </w:r>
    </w:p>
    <w:p w:rsidR="00C32B1F" w:rsidRPr="00C32B1F" w:rsidRDefault="00C32B1F" w:rsidP="00C32B1F">
      <w:pPr>
        <w:jc w:val="right"/>
        <w:rPr>
          <w:rFonts w:asciiTheme="majorBidi" w:hAnsiTheme="majorBidi" w:cstheme="majorBidi"/>
          <w:sz w:val="24"/>
          <w:szCs w:val="24"/>
        </w:rPr>
      </w:pPr>
      <w:r w:rsidRPr="00C32B1F">
        <w:rPr>
          <w:rFonts w:asciiTheme="majorBidi" w:hAnsiTheme="majorBidi" w:cstheme="majorBidi"/>
          <w:sz w:val="24"/>
          <w:szCs w:val="24"/>
        </w:rPr>
        <w:t xml:space="preserve">  </w:t>
      </w:r>
      <w:r w:rsidRPr="00C32B1F">
        <w:rPr>
          <w:rFonts w:asciiTheme="majorBidi" w:hAnsiTheme="majorBidi" w:cstheme="majorBidi"/>
          <w:sz w:val="24"/>
          <w:szCs w:val="24"/>
          <w:rtl/>
        </w:rPr>
        <w:t>ודע לפני מי אתה עמל שאם תעמול בתורה כדי לקיים אותה כנגד אפיקורוס, השם יתברך לא יקפח שכרך, כי הוא נאמן לשלם שכר עמלך. זה נראה פירוש זה הלשון. ואינו נכון, שאם כן, אין כאן ג' דברים, כי כל זה הוא דבר אחד. על כן יש לפרש, וכן פירשוה רבינו משה ז"ל [ד"ה ודע, עמ' רפ] ורבינו יונה ז"ל [ד"ה ודע לפני], ודע בתשובתך זאת לפני מי אתה עמל, כי הוא יודע מצפון לבך ואם תטה לדעת האפיקורוס, לא יכחד ממנו דבר. ...</w:t>
      </w:r>
    </w:p>
    <w:p w:rsidR="00713A78" w:rsidRDefault="00713A78" w:rsidP="00713A78">
      <w:pPr>
        <w:shd w:val="clear" w:color="auto" w:fill="FFFFFF"/>
        <w:jc w:val="right"/>
        <w:rPr>
          <w:rFonts w:asciiTheme="majorBidi" w:eastAsia="Times New Roman" w:hAnsiTheme="majorBidi" w:cstheme="majorBidi" w:hint="cs"/>
          <w:color w:val="222222"/>
          <w:sz w:val="24"/>
          <w:szCs w:val="24"/>
          <w:rtl/>
        </w:rPr>
      </w:pPr>
    </w:p>
    <w:p w:rsidR="00855056" w:rsidRPr="00855056" w:rsidRDefault="00855056" w:rsidP="00855056">
      <w:pPr>
        <w:shd w:val="clear" w:color="auto" w:fill="FFFFFF"/>
        <w:jc w:val="right"/>
        <w:rPr>
          <w:rFonts w:asciiTheme="majorBidi" w:eastAsia="Times New Roman" w:hAnsiTheme="majorBidi" w:cstheme="majorBidi" w:hint="cs"/>
          <w:b/>
          <w:bCs/>
          <w:color w:val="222222"/>
          <w:sz w:val="24"/>
          <w:szCs w:val="24"/>
          <w:u w:val="single"/>
          <w:rtl/>
        </w:rPr>
      </w:pPr>
      <w:r w:rsidRPr="00855056">
        <w:rPr>
          <w:rFonts w:asciiTheme="majorBidi" w:eastAsia="Times New Roman" w:hAnsiTheme="majorBidi" w:cstheme="majorBidi" w:hint="cs"/>
          <w:b/>
          <w:bCs/>
          <w:color w:val="222222"/>
          <w:sz w:val="24"/>
          <w:szCs w:val="24"/>
          <w:u w:val="single"/>
          <w:rtl/>
        </w:rPr>
        <w:t>9) זרוע ימין</w:t>
      </w:r>
    </w:p>
    <w:p w:rsidR="001D5267" w:rsidRPr="00855056" w:rsidRDefault="00C32B1F" w:rsidP="00855056">
      <w:pPr>
        <w:shd w:val="clear" w:color="auto" w:fill="FFFFFF"/>
        <w:rPr>
          <w:rFonts w:asciiTheme="majorBidi" w:eastAsia="Times New Roman" w:hAnsiTheme="majorBidi" w:cstheme="majorBidi"/>
          <w:i/>
          <w:iCs/>
          <w:color w:val="222222"/>
          <w:sz w:val="24"/>
          <w:szCs w:val="24"/>
        </w:rPr>
      </w:pPr>
      <w:r w:rsidRPr="00855056">
        <w:rPr>
          <w:rFonts w:asciiTheme="majorBidi" w:eastAsia="Times New Roman" w:hAnsiTheme="majorBidi" w:cstheme="majorBidi"/>
          <w:i/>
          <w:iCs/>
          <w:color w:val="222222"/>
          <w:sz w:val="24"/>
          <w:szCs w:val="24"/>
        </w:rPr>
        <w:t>AZULAI, ḤAYYIM JOSEPH DAVID (known by his Hebrew acronym Ḥida, Ḥayyim Yoseph David Azulai; 1724–1806), halakhist, kabbalist, emissary, and bibliographer. Azulai was born in Jerusalem; he was descended on his father's side from</w:t>
      </w:r>
      <w:r w:rsidR="00855056" w:rsidRPr="00855056">
        <w:rPr>
          <w:rFonts w:asciiTheme="majorBidi" w:eastAsia="Times New Roman" w:hAnsiTheme="majorBidi" w:cstheme="majorBidi"/>
          <w:i/>
          <w:iCs/>
          <w:color w:val="222222"/>
          <w:sz w:val="24"/>
          <w:szCs w:val="24"/>
        </w:rPr>
        <w:t xml:space="preserve"> </w:t>
      </w:r>
      <w:r w:rsidRPr="00855056">
        <w:rPr>
          <w:rFonts w:asciiTheme="majorBidi" w:eastAsia="Times New Roman" w:hAnsiTheme="majorBidi" w:cstheme="majorBidi"/>
          <w:i/>
          <w:iCs/>
          <w:color w:val="222222"/>
          <w:sz w:val="24"/>
          <w:szCs w:val="24"/>
        </w:rPr>
        <w:t>a prominent family of rabbis and kabbalists from Spain</w:t>
      </w:r>
      <w:r w:rsidR="0076769B">
        <w:rPr>
          <w:rFonts w:asciiTheme="majorBidi" w:eastAsia="Times New Roman" w:hAnsiTheme="majorBidi" w:cstheme="majorBidi"/>
          <w:i/>
          <w:iCs/>
          <w:color w:val="222222"/>
          <w:sz w:val="24"/>
          <w:szCs w:val="24"/>
        </w:rPr>
        <w:t xml:space="preserve"> - E.J.</w:t>
      </w:r>
    </w:p>
    <w:p w:rsidR="00C32B1F" w:rsidRDefault="00C32B1F" w:rsidP="00713A78">
      <w:pPr>
        <w:shd w:val="clear" w:color="auto" w:fill="FFFFFF"/>
        <w:jc w:val="right"/>
        <w:rPr>
          <w:rFonts w:asciiTheme="majorBidi" w:eastAsia="Times New Roman" w:hAnsiTheme="majorBidi" w:cstheme="majorBidi"/>
          <w:color w:val="222222"/>
          <w:sz w:val="24"/>
          <w:szCs w:val="24"/>
        </w:rPr>
      </w:pPr>
      <w:r>
        <w:rPr>
          <w:noProof/>
        </w:rPr>
        <w:drawing>
          <wp:inline distT="0" distB="0" distL="0" distR="0" wp14:anchorId="1B6EAAB8" wp14:editId="4C670DDA">
            <wp:extent cx="4848225" cy="186211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48225" cy="1862112"/>
                    </a:xfrm>
                    <a:prstGeom prst="rect">
                      <a:avLst/>
                    </a:prstGeom>
                  </pic:spPr>
                </pic:pic>
              </a:graphicData>
            </a:graphic>
          </wp:inline>
        </w:drawing>
      </w:r>
    </w:p>
    <w:p w:rsidR="00C32B1F" w:rsidRDefault="00C32B1F" w:rsidP="00713A78">
      <w:pPr>
        <w:shd w:val="clear" w:color="auto" w:fill="FFFFFF"/>
        <w:jc w:val="right"/>
        <w:rPr>
          <w:rFonts w:asciiTheme="majorBidi" w:eastAsia="Times New Roman" w:hAnsiTheme="majorBidi" w:cstheme="majorBidi"/>
          <w:color w:val="222222"/>
          <w:sz w:val="24"/>
          <w:szCs w:val="24"/>
        </w:rPr>
      </w:pPr>
    </w:p>
    <w:p w:rsidR="001D5267" w:rsidRPr="00855056" w:rsidRDefault="00855056" w:rsidP="001D5267">
      <w:pPr>
        <w:shd w:val="clear" w:color="auto" w:fill="FFFFFF"/>
        <w:jc w:val="right"/>
        <w:rPr>
          <w:rFonts w:asciiTheme="majorBidi" w:eastAsia="Times New Roman" w:hAnsiTheme="majorBidi" w:cstheme="majorBidi"/>
          <w:b/>
          <w:bCs/>
          <w:color w:val="222222"/>
          <w:sz w:val="24"/>
          <w:szCs w:val="24"/>
          <w:u w:val="single"/>
        </w:rPr>
      </w:pPr>
      <w:r>
        <w:rPr>
          <w:rFonts w:asciiTheme="majorBidi" w:eastAsia="Times New Roman" w:hAnsiTheme="majorBidi" w:cstheme="majorBidi" w:hint="cs"/>
          <w:b/>
          <w:bCs/>
          <w:color w:val="222222"/>
          <w:sz w:val="24"/>
          <w:szCs w:val="24"/>
          <w:u w:val="single"/>
          <w:rtl/>
        </w:rPr>
        <w:lastRenderedPageBreak/>
        <w:t xml:space="preserve">10) </w:t>
      </w:r>
      <w:r w:rsidR="001D5267" w:rsidRPr="00855056">
        <w:rPr>
          <w:rFonts w:asciiTheme="majorBidi" w:eastAsia="Times New Roman" w:hAnsiTheme="majorBidi" w:cstheme="majorBidi"/>
          <w:b/>
          <w:bCs/>
          <w:color w:val="222222"/>
          <w:sz w:val="24"/>
          <w:szCs w:val="24"/>
          <w:u w:val="single"/>
          <w:rtl/>
        </w:rPr>
        <w:t>פירוש רבינו יונה על אבות פרק ב</w:t>
      </w:r>
    </w:p>
    <w:p w:rsidR="00855056" w:rsidRDefault="00B148E1" w:rsidP="00855056">
      <w:pPr>
        <w:shd w:val="clear" w:color="auto" w:fill="FFFFFF"/>
        <w:jc w:val="right"/>
        <w:rPr>
          <w:rFonts w:asciiTheme="majorBidi" w:eastAsia="Times New Roman" w:hAnsiTheme="majorBidi" w:cstheme="majorBidi" w:hint="cs"/>
          <w:color w:val="222222"/>
          <w:sz w:val="24"/>
          <w:szCs w:val="24"/>
          <w:rtl/>
        </w:rPr>
      </w:pPr>
      <w:r w:rsidRPr="00713A78">
        <w:rPr>
          <w:rFonts w:asciiTheme="majorBidi" w:eastAsia="Times New Roman" w:hAnsiTheme="majorBidi" w:cstheme="majorBidi"/>
          <w:color w:val="222222"/>
          <w:sz w:val="24"/>
          <w:szCs w:val="24"/>
        </w:rPr>
        <w:t xml:space="preserve">  </w:t>
      </w:r>
      <w:r w:rsidRPr="00713A78">
        <w:rPr>
          <w:rFonts w:asciiTheme="majorBidi" w:eastAsia="Times New Roman" w:hAnsiTheme="majorBidi" w:cstheme="majorBidi"/>
          <w:color w:val="222222"/>
          <w:sz w:val="24"/>
          <w:szCs w:val="24"/>
          <w:rtl/>
        </w:rPr>
        <w:t xml:space="preserve">ודע לפני מי אתה עמל - לפני בוחן כליות ולב. וכי תלמד תורה תטרח ותשים כוונתך בה ובזה תדע להשיב את אפיקורוס </w:t>
      </w:r>
      <w:r w:rsidR="00855056">
        <w:rPr>
          <w:rFonts w:asciiTheme="majorBidi" w:eastAsia="Times New Roman" w:hAnsiTheme="majorBidi" w:cstheme="majorBidi" w:hint="cs"/>
          <w:color w:val="222222"/>
          <w:sz w:val="24"/>
          <w:szCs w:val="24"/>
          <w:rtl/>
        </w:rPr>
        <w:t>...</w:t>
      </w:r>
    </w:p>
    <w:p w:rsidR="00855056" w:rsidRDefault="00855056" w:rsidP="00713A78">
      <w:pPr>
        <w:shd w:val="clear" w:color="auto" w:fill="FFFFFF"/>
        <w:jc w:val="right"/>
        <w:rPr>
          <w:rFonts w:asciiTheme="majorBidi" w:eastAsia="Times New Roman" w:hAnsiTheme="majorBidi" w:cstheme="majorBidi" w:hint="cs"/>
          <w:color w:val="222222"/>
          <w:sz w:val="24"/>
          <w:szCs w:val="24"/>
          <w:rtl/>
        </w:rPr>
      </w:pPr>
    </w:p>
    <w:p w:rsidR="00855056" w:rsidRPr="00855056" w:rsidRDefault="00855056" w:rsidP="00855056">
      <w:pPr>
        <w:jc w:val="right"/>
        <w:rPr>
          <w:rFonts w:asciiTheme="majorBidi" w:hAnsiTheme="majorBidi" w:cstheme="majorBidi"/>
          <w:b/>
          <w:bCs/>
          <w:sz w:val="24"/>
          <w:szCs w:val="24"/>
          <w:u w:val="single"/>
        </w:rPr>
      </w:pPr>
      <w:r w:rsidRPr="00855056">
        <w:rPr>
          <w:rFonts w:asciiTheme="majorBidi" w:eastAsia="Times New Roman" w:hAnsiTheme="majorBidi" w:cstheme="majorBidi" w:hint="cs"/>
          <w:b/>
          <w:bCs/>
          <w:color w:val="222222"/>
          <w:sz w:val="24"/>
          <w:szCs w:val="24"/>
          <w:u w:val="single"/>
          <w:rtl/>
        </w:rPr>
        <w:t>11)</w:t>
      </w:r>
      <w:r w:rsidRPr="00855056">
        <w:rPr>
          <w:rFonts w:asciiTheme="majorBidi" w:hAnsiTheme="majorBidi" w:cstheme="majorBidi"/>
          <w:b/>
          <w:bCs/>
          <w:sz w:val="24"/>
          <w:szCs w:val="24"/>
          <w:u w:val="single"/>
          <w:rtl/>
        </w:rPr>
        <w:t>ר' עובדיה מברטנורא מסכת אבות פרק ב</w:t>
      </w:r>
    </w:p>
    <w:p w:rsidR="00855056" w:rsidRPr="00855056" w:rsidRDefault="00855056" w:rsidP="00855056">
      <w:pPr>
        <w:jc w:val="right"/>
        <w:rPr>
          <w:rFonts w:asciiTheme="majorBidi" w:hAnsiTheme="majorBidi" w:cstheme="majorBidi"/>
          <w:sz w:val="24"/>
          <w:szCs w:val="24"/>
        </w:rPr>
      </w:pPr>
      <w:r w:rsidRPr="00855056">
        <w:rPr>
          <w:rFonts w:asciiTheme="majorBidi" w:hAnsiTheme="majorBidi" w:cstheme="majorBidi"/>
          <w:sz w:val="24"/>
          <w:szCs w:val="24"/>
        </w:rPr>
        <w:t xml:space="preserve">  </w:t>
      </w:r>
      <w:r w:rsidRPr="00855056">
        <w:rPr>
          <w:rFonts w:asciiTheme="majorBidi" w:hAnsiTheme="majorBidi" w:cstheme="majorBidi"/>
          <w:sz w:val="24"/>
          <w:szCs w:val="24"/>
          <w:rtl/>
        </w:rPr>
        <w:t>ודע לפני מי אתה עמל - בתשובה זו שאתה משיב לאפיקורוס. שלא יפתה לבך לנטות לדעתו</w:t>
      </w:r>
      <w:r w:rsidRPr="00855056">
        <w:rPr>
          <w:rFonts w:asciiTheme="majorBidi" w:hAnsiTheme="majorBidi" w:cstheme="majorBidi"/>
          <w:sz w:val="24"/>
          <w:szCs w:val="24"/>
        </w:rPr>
        <w:t>:</w:t>
      </w:r>
    </w:p>
    <w:p w:rsidR="00855056" w:rsidRDefault="00855056" w:rsidP="00713A78">
      <w:pPr>
        <w:shd w:val="clear" w:color="auto" w:fill="FFFFFF"/>
        <w:jc w:val="right"/>
        <w:rPr>
          <w:rFonts w:asciiTheme="majorBidi" w:eastAsia="Times New Roman" w:hAnsiTheme="majorBidi" w:cstheme="majorBidi" w:hint="cs"/>
          <w:color w:val="222222"/>
          <w:sz w:val="24"/>
          <w:szCs w:val="24"/>
          <w:rtl/>
        </w:rPr>
      </w:pPr>
    </w:p>
    <w:p w:rsidR="00855056" w:rsidRPr="00855056" w:rsidRDefault="00855056" w:rsidP="00855056">
      <w:pPr>
        <w:shd w:val="clear" w:color="auto" w:fill="FFFFFF"/>
        <w:jc w:val="right"/>
        <w:rPr>
          <w:rFonts w:asciiTheme="majorBidi" w:eastAsia="Times New Roman" w:hAnsiTheme="majorBidi" w:cstheme="majorBidi"/>
          <w:b/>
          <w:bCs/>
          <w:color w:val="222222"/>
          <w:sz w:val="24"/>
          <w:szCs w:val="24"/>
          <w:u w:val="single"/>
        </w:rPr>
      </w:pPr>
      <w:r>
        <w:rPr>
          <w:rFonts w:asciiTheme="majorBidi" w:eastAsia="Times New Roman" w:hAnsiTheme="majorBidi" w:cstheme="majorBidi" w:hint="cs"/>
          <w:b/>
          <w:bCs/>
          <w:color w:val="222222"/>
          <w:sz w:val="24"/>
          <w:szCs w:val="24"/>
          <w:u w:val="single"/>
          <w:rtl/>
        </w:rPr>
        <w:t>1</w:t>
      </w:r>
      <w:r>
        <w:rPr>
          <w:rFonts w:asciiTheme="majorBidi" w:eastAsia="Times New Roman" w:hAnsiTheme="majorBidi" w:cstheme="majorBidi" w:hint="cs"/>
          <w:b/>
          <w:bCs/>
          <w:color w:val="222222"/>
          <w:sz w:val="24"/>
          <w:szCs w:val="24"/>
          <w:u w:val="single"/>
          <w:rtl/>
        </w:rPr>
        <w:t>2</w:t>
      </w:r>
      <w:r>
        <w:rPr>
          <w:rFonts w:asciiTheme="majorBidi" w:eastAsia="Times New Roman" w:hAnsiTheme="majorBidi" w:cstheme="majorBidi" w:hint="cs"/>
          <w:b/>
          <w:bCs/>
          <w:color w:val="222222"/>
          <w:sz w:val="24"/>
          <w:szCs w:val="24"/>
          <w:u w:val="single"/>
          <w:rtl/>
        </w:rPr>
        <w:t xml:space="preserve">) </w:t>
      </w:r>
      <w:r w:rsidRPr="00855056">
        <w:rPr>
          <w:rFonts w:asciiTheme="majorBidi" w:eastAsia="Times New Roman" w:hAnsiTheme="majorBidi" w:cstheme="majorBidi"/>
          <w:b/>
          <w:bCs/>
          <w:color w:val="222222"/>
          <w:sz w:val="24"/>
          <w:szCs w:val="24"/>
          <w:u w:val="single"/>
          <w:rtl/>
        </w:rPr>
        <w:t>פירוש רבינו יונה על אבות פרק ב</w:t>
      </w:r>
    </w:p>
    <w:p w:rsidR="00B148E1" w:rsidRPr="00855056" w:rsidRDefault="00B148E1" w:rsidP="00855056">
      <w:pPr>
        <w:shd w:val="clear" w:color="auto" w:fill="FFFFFF"/>
        <w:jc w:val="right"/>
        <w:rPr>
          <w:rFonts w:asciiTheme="majorBidi" w:eastAsia="Times New Roman" w:hAnsiTheme="majorBidi" w:cstheme="majorBidi"/>
          <w:color w:val="222222"/>
          <w:sz w:val="24"/>
          <w:szCs w:val="24"/>
        </w:rPr>
      </w:pPr>
      <w:r w:rsidRPr="00713A78">
        <w:rPr>
          <w:rFonts w:asciiTheme="majorBidi" w:eastAsia="Times New Roman" w:hAnsiTheme="majorBidi" w:cstheme="majorBidi"/>
          <w:color w:val="222222"/>
          <w:sz w:val="24"/>
          <w:szCs w:val="24"/>
        </w:rPr>
        <w:t xml:space="preserve">  </w:t>
      </w:r>
      <w:r w:rsidRPr="00713A78">
        <w:rPr>
          <w:rFonts w:asciiTheme="majorBidi" w:eastAsia="Times New Roman" w:hAnsiTheme="majorBidi" w:cstheme="majorBidi"/>
          <w:color w:val="222222"/>
          <w:sz w:val="24"/>
          <w:szCs w:val="24"/>
          <w:rtl/>
        </w:rPr>
        <w:t xml:space="preserve">ומי הוא בעל מלאכתך שישלם לך שכר פעולתך - </w:t>
      </w:r>
      <w:r w:rsidR="00855056">
        <w:rPr>
          <w:rFonts w:asciiTheme="majorBidi" w:eastAsia="Times New Roman" w:hAnsiTheme="majorBidi" w:cstheme="majorBidi" w:hint="cs"/>
          <w:color w:val="222222"/>
          <w:sz w:val="24"/>
          <w:szCs w:val="24"/>
          <w:rtl/>
        </w:rPr>
        <w:t>...</w:t>
      </w:r>
      <w:r w:rsidRPr="00713A78">
        <w:rPr>
          <w:rFonts w:asciiTheme="majorBidi" w:eastAsia="Times New Roman" w:hAnsiTheme="majorBidi" w:cstheme="majorBidi"/>
          <w:color w:val="222222"/>
          <w:sz w:val="24"/>
          <w:szCs w:val="24"/>
          <w:rtl/>
        </w:rPr>
        <w:t xml:space="preserve"> ואע"פ שאמרו אל תהיו כעבדים המשמשין את הרב על מנת לקבל פרס. כדי להתגבר על היצר המסיר אותו מלעשות המצות וללכת בדרך ישר. טוב לחשב כי פרס יהיה לו עליהם שלא יתן פתחון פה ליצר לקטרג. ועוד כי לא הזהירו לדעת את זה כדי לעבוד את המקום ב"ה מפני סבת השכר אלא שכשם שאדם חייב לחקור ולידע יחודו של מקום וגדולתו ותבונתו ונפלאותיו אשר עשה כדי להוסיף בו אהבה. כך חייב שישלם שכר הפעולה לעלות על לבו גודל חסדיו של מקום ב"ה אע"פ שהוא אדון כל המעשים וקונה הכל וכלנו עבדיו לעבדו ולשרתו כעבד מקנת כסף בלא שיתן שכר פרס ושכר פעולתנו אתנו ועכ"פ נוסף לו אהבה עליה ונעבוד אותו מיראה </w:t>
      </w:r>
      <w:r w:rsidRPr="00855056">
        <w:rPr>
          <w:rFonts w:asciiTheme="majorBidi" w:eastAsia="Times New Roman" w:hAnsiTheme="majorBidi" w:cstheme="majorBidi"/>
          <w:color w:val="222222"/>
          <w:sz w:val="24"/>
          <w:szCs w:val="24"/>
          <w:rtl/>
        </w:rPr>
        <w:t>ומאהבה</w:t>
      </w:r>
      <w:r w:rsidRPr="00855056">
        <w:rPr>
          <w:rFonts w:asciiTheme="majorBidi" w:eastAsia="Times New Roman" w:hAnsiTheme="majorBidi" w:cstheme="majorBidi"/>
          <w:color w:val="222222"/>
          <w:sz w:val="24"/>
          <w:szCs w:val="24"/>
        </w:rPr>
        <w:t> </w:t>
      </w:r>
    </w:p>
    <w:p w:rsidR="00442E0E" w:rsidRPr="00855056" w:rsidRDefault="00442E0E" w:rsidP="00442E0E">
      <w:pPr>
        <w:jc w:val="center"/>
        <w:rPr>
          <w:rFonts w:asciiTheme="majorBidi" w:hAnsiTheme="majorBidi" w:cstheme="majorBidi"/>
          <w:sz w:val="24"/>
          <w:szCs w:val="24"/>
        </w:rPr>
      </w:pPr>
    </w:p>
    <w:p w:rsidR="00442E0E" w:rsidRPr="00855056" w:rsidRDefault="00855056" w:rsidP="00855056">
      <w:pPr>
        <w:jc w:val="right"/>
        <w:rPr>
          <w:rFonts w:asciiTheme="majorBidi" w:hAnsiTheme="majorBidi" w:cstheme="majorBidi"/>
          <w:b/>
          <w:bCs/>
          <w:sz w:val="24"/>
          <w:szCs w:val="24"/>
          <w:u w:val="single"/>
        </w:rPr>
      </w:pPr>
      <w:r>
        <w:rPr>
          <w:rFonts w:asciiTheme="majorBidi" w:hAnsiTheme="majorBidi" w:cstheme="majorBidi" w:hint="cs"/>
          <w:b/>
          <w:bCs/>
          <w:sz w:val="24"/>
          <w:szCs w:val="24"/>
          <w:u w:val="single"/>
          <w:rtl/>
        </w:rPr>
        <w:t xml:space="preserve">13) </w:t>
      </w:r>
      <w:r w:rsidR="00442E0E" w:rsidRPr="00855056">
        <w:rPr>
          <w:rFonts w:asciiTheme="majorBidi" w:hAnsiTheme="majorBidi" w:cstheme="majorBidi"/>
          <w:b/>
          <w:bCs/>
          <w:sz w:val="24"/>
          <w:szCs w:val="24"/>
          <w:u w:val="single"/>
          <w:rtl/>
        </w:rPr>
        <w:t>תפארת ישראל - יכין מסכת אבות פרק ב</w:t>
      </w:r>
    </w:p>
    <w:p w:rsidR="00442E0E" w:rsidRPr="00855056" w:rsidRDefault="00442E0E" w:rsidP="00855056">
      <w:pPr>
        <w:jc w:val="right"/>
        <w:rPr>
          <w:rFonts w:asciiTheme="majorBidi" w:hAnsiTheme="majorBidi" w:cstheme="majorBidi"/>
          <w:sz w:val="24"/>
          <w:szCs w:val="24"/>
        </w:rPr>
      </w:pPr>
      <w:r w:rsidRPr="00855056">
        <w:rPr>
          <w:rFonts w:asciiTheme="majorBidi" w:hAnsiTheme="majorBidi" w:cstheme="majorBidi"/>
          <w:sz w:val="24"/>
          <w:szCs w:val="24"/>
          <w:rtl/>
        </w:rPr>
        <w:t>הוי שקוד ללמוד תורה. ג' דברים נצרכים להצלחה בלימוד א) השקידה וההתמדה, דאם לא יתמיד לחזור בכל יום לימודו שמאתמול, תקדם יציאה להויה, ולא ישתרש הענין בלבו היטב, ולכן אמר הוה שקוד וכו', [ואמר שקוד בפעול, ולא שוקד בפועל, דכל פועל יש בידו לעשות או בלי לעשות, אבל הפעול מוכרח במעשהו מפני כח הפועל, כך תשתדל בעצמך ההרגל בשקידה, כאילו אין כח בך למנעה בשום פנים</w:t>
      </w:r>
      <w:r w:rsidRPr="00855056">
        <w:rPr>
          <w:rFonts w:asciiTheme="majorBidi" w:hAnsiTheme="majorBidi" w:cstheme="majorBidi"/>
          <w:sz w:val="24"/>
          <w:szCs w:val="24"/>
        </w:rPr>
        <w:t>]:</w:t>
      </w:r>
    </w:p>
    <w:p w:rsidR="00442E0E" w:rsidRPr="00855056" w:rsidRDefault="00442E0E" w:rsidP="00855056">
      <w:pPr>
        <w:jc w:val="right"/>
        <w:rPr>
          <w:rFonts w:asciiTheme="majorBidi" w:hAnsiTheme="majorBidi" w:cstheme="majorBidi"/>
          <w:sz w:val="8"/>
          <w:szCs w:val="8"/>
        </w:rPr>
      </w:pPr>
    </w:p>
    <w:p w:rsidR="00442E0E" w:rsidRPr="00855056" w:rsidRDefault="00442E0E" w:rsidP="00855056">
      <w:pPr>
        <w:jc w:val="right"/>
        <w:rPr>
          <w:rFonts w:asciiTheme="majorBidi" w:hAnsiTheme="majorBidi" w:cstheme="majorBidi"/>
          <w:sz w:val="24"/>
          <w:szCs w:val="24"/>
        </w:rPr>
      </w:pPr>
      <w:r w:rsidRPr="00855056">
        <w:rPr>
          <w:rFonts w:asciiTheme="majorBidi" w:hAnsiTheme="majorBidi" w:cstheme="majorBidi"/>
          <w:sz w:val="24"/>
          <w:szCs w:val="24"/>
        </w:rPr>
        <w:t xml:space="preserve">  </w:t>
      </w:r>
      <w:r w:rsidRPr="00855056">
        <w:rPr>
          <w:rFonts w:asciiTheme="majorBidi" w:hAnsiTheme="majorBidi" w:cstheme="majorBidi"/>
          <w:sz w:val="24"/>
          <w:szCs w:val="24"/>
          <w:rtl/>
        </w:rPr>
        <w:t>ודע מה שתשיב לאפיקורוס. ב) העיון וההתעמקות בהעניינים שלומד, שלא יזוז משום דבר שלומד עד שישאל וישיב לעצמו על ז' שאלות, מי, מה, למי, או את מי, מתי, איה, איך, ולמה, שכשתדע להשיב על אלה הז' שאלות, יבורר לך כל דבר חמור ועמוק. גם ישקיף סביבות העניין שלמד יפה, אם אין בו סתירה במה שלמד כבר. גם ישאל א"ע אם אין שם בהדבר שלומד מלה יתירה, ולמה נכתב מלה זאת, וכדומה בהשאלות, עד שיבורר לו הדבר כשמלה חדשה. ועל העניין הזה, אמר, ודע מה וכו', ר"ל לא די שצריך אתה לידע הטעם של כל דבר כפי הראוי וכפי שמותר הישראלי הכשר לשאול, אלא צריך אתה ג"כ להתבונן בכל דבר הטעם שתוכל להשיב לאפיקורס כשתזדמן עמו, שאינו מתרצה בקבלתינו הנאמנה, רק במה ששכל אנושי סובל</w:t>
      </w:r>
      <w:r w:rsidRPr="00855056">
        <w:rPr>
          <w:rFonts w:asciiTheme="majorBidi" w:hAnsiTheme="majorBidi" w:cstheme="majorBidi"/>
          <w:sz w:val="24"/>
          <w:szCs w:val="24"/>
        </w:rPr>
        <w:t>:</w:t>
      </w:r>
    </w:p>
    <w:p w:rsidR="00442E0E" w:rsidRPr="00855056" w:rsidRDefault="00442E0E" w:rsidP="00855056">
      <w:pPr>
        <w:jc w:val="right"/>
        <w:rPr>
          <w:rFonts w:asciiTheme="majorBidi" w:hAnsiTheme="majorBidi" w:cstheme="majorBidi"/>
          <w:sz w:val="10"/>
          <w:szCs w:val="10"/>
        </w:rPr>
      </w:pPr>
    </w:p>
    <w:p w:rsidR="00442E0E" w:rsidRPr="00855056" w:rsidRDefault="00442E0E" w:rsidP="00855056">
      <w:pPr>
        <w:jc w:val="right"/>
        <w:rPr>
          <w:rFonts w:asciiTheme="majorBidi" w:hAnsiTheme="majorBidi" w:cstheme="majorBidi"/>
          <w:sz w:val="24"/>
          <w:szCs w:val="24"/>
        </w:rPr>
      </w:pPr>
      <w:r w:rsidRPr="00855056">
        <w:rPr>
          <w:rFonts w:asciiTheme="majorBidi" w:hAnsiTheme="majorBidi" w:cstheme="majorBidi"/>
          <w:sz w:val="24"/>
          <w:szCs w:val="24"/>
        </w:rPr>
        <w:t xml:space="preserve">  </w:t>
      </w:r>
      <w:r w:rsidRPr="00855056">
        <w:rPr>
          <w:rFonts w:asciiTheme="majorBidi" w:hAnsiTheme="majorBidi" w:cstheme="majorBidi"/>
          <w:sz w:val="24"/>
          <w:szCs w:val="24"/>
          <w:rtl/>
        </w:rPr>
        <w:t>ודע לפני מי אתה עמל. ג) הסרת הדאגה, וכל מחשבה אחרת בשעה שלומד, ועל זה אמר, ודע לפני מי אתה עמל בלימודך, הלא תתבושש לפניו שתתעסק במחשבתך בעניינים אחרים בעת עסקך במלאכתו, וזאת שנית ונאמן הוא וכו</w:t>
      </w:r>
      <w:r w:rsidRPr="00855056">
        <w:rPr>
          <w:rFonts w:asciiTheme="majorBidi" w:hAnsiTheme="majorBidi" w:cstheme="majorBidi"/>
          <w:sz w:val="24"/>
          <w:szCs w:val="24"/>
        </w:rPr>
        <w:t>':</w:t>
      </w:r>
    </w:p>
    <w:p w:rsidR="00442E0E" w:rsidRPr="00855056" w:rsidRDefault="00442E0E" w:rsidP="00855056">
      <w:pPr>
        <w:jc w:val="right"/>
        <w:rPr>
          <w:rFonts w:asciiTheme="majorBidi" w:hAnsiTheme="majorBidi" w:cstheme="majorBidi" w:hint="cs"/>
          <w:sz w:val="10"/>
          <w:szCs w:val="10"/>
          <w:rtl/>
        </w:rPr>
      </w:pPr>
    </w:p>
    <w:p w:rsidR="00855056" w:rsidRDefault="00855056" w:rsidP="00855056">
      <w:pPr>
        <w:jc w:val="right"/>
        <w:rPr>
          <w:rFonts w:asciiTheme="majorBidi" w:hAnsiTheme="majorBidi" w:cstheme="majorBidi" w:hint="cs"/>
          <w:b/>
          <w:bCs/>
          <w:sz w:val="24"/>
          <w:szCs w:val="24"/>
          <w:u w:val="single"/>
          <w:rtl/>
        </w:rPr>
      </w:pPr>
      <w:r w:rsidRPr="00855056">
        <w:rPr>
          <w:rFonts w:asciiTheme="majorBidi" w:hAnsiTheme="majorBidi" w:cstheme="majorBidi"/>
          <w:b/>
          <w:bCs/>
          <w:noProof/>
          <w:sz w:val="24"/>
          <w:szCs w:val="24"/>
          <w:u w:val="single"/>
        </w:rPr>
        <mc:AlternateContent>
          <mc:Choice Requires="wps">
            <w:drawing>
              <wp:anchor distT="0" distB="0" distL="114300" distR="114300" simplePos="0" relativeHeight="251660288" behindDoc="0" locked="0" layoutInCell="1" allowOverlap="1" wp14:anchorId="532635F8" wp14:editId="7BF15EA1">
                <wp:simplePos x="0" y="0"/>
                <wp:positionH relativeFrom="column">
                  <wp:posOffset>133350</wp:posOffset>
                </wp:positionH>
                <wp:positionV relativeFrom="paragraph">
                  <wp:posOffset>166370</wp:posOffset>
                </wp:positionV>
                <wp:extent cx="3409950" cy="3171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171825"/>
                        </a:xfrm>
                        <a:prstGeom prst="rect">
                          <a:avLst/>
                        </a:prstGeom>
                        <a:solidFill>
                          <a:srgbClr val="FFFFFF"/>
                        </a:solidFill>
                        <a:ln w="9525">
                          <a:solidFill>
                            <a:srgbClr val="000000"/>
                          </a:solidFill>
                          <a:miter lim="800000"/>
                          <a:headEnd/>
                          <a:tailEnd/>
                        </a:ln>
                      </wps:spPr>
                      <wps:txbx>
                        <w:txbxContent>
                          <w:p w:rsidR="00855056" w:rsidRPr="0076769B" w:rsidRDefault="00855056" w:rsidP="0076769B">
                            <w:pPr>
                              <w:jc w:val="right"/>
                              <w:rPr>
                                <w:rFonts w:hint="cs"/>
                                <w:b/>
                                <w:bCs/>
                                <w:u w:val="single"/>
                                <w:rtl/>
                              </w:rPr>
                            </w:pPr>
                            <w:r w:rsidRPr="0076769B">
                              <w:rPr>
                                <w:rFonts w:hint="cs"/>
                                <w:b/>
                                <w:bCs/>
                                <w:u w:val="single"/>
                                <w:rtl/>
                              </w:rPr>
                              <w:t>15)</w:t>
                            </w:r>
                            <w:r w:rsidR="0076769B" w:rsidRPr="0076769B">
                              <w:rPr>
                                <w:rFonts w:hint="cs"/>
                                <w:b/>
                                <w:bCs/>
                                <w:u w:val="single"/>
                                <w:rtl/>
                              </w:rPr>
                              <w:t>מגן אבות לר' שלמה קלוגר</w:t>
                            </w:r>
                            <w:r w:rsidRPr="0076769B">
                              <w:rPr>
                                <w:rFonts w:hint="cs"/>
                                <w:b/>
                                <w:bCs/>
                                <w:u w:val="single"/>
                                <w:rtl/>
                              </w:rPr>
                              <w:t xml:space="preserve"> </w:t>
                            </w:r>
                          </w:p>
                          <w:p w:rsidR="00855056" w:rsidRDefault="00855056" w:rsidP="00855056">
                            <w:r>
                              <w:rPr>
                                <w:noProof/>
                              </w:rPr>
                              <w:drawing>
                                <wp:inline distT="0" distB="0" distL="0" distR="0" wp14:anchorId="41DCAAE0" wp14:editId="49943C59">
                                  <wp:extent cx="3218180" cy="212086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18180" cy="21208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5pt;margin-top:13.1pt;width:268.5pt;height:24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">
                <v:textbox>
                  <w:txbxContent>
                    <w:p w:rsidR="00855056" w:rsidRPr="0076769B" w:rsidRDefault="00855056" w:rsidP="0076769B">
                      <w:pPr>
                        <w:jc w:val="right"/>
                        <w:rPr>
                          <w:rFonts w:hint="cs"/>
                          <w:b/>
                          <w:bCs/>
                          <w:u w:val="single"/>
                          <w:rtl/>
                        </w:rPr>
                      </w:pPr>
                      <w:r w:rsidRPr="0076769B">
                        <w:rPr>
                          <w:rFonts w:hint="cs"/>
                          <w:b/>
                          <w:bCs/>
                          <w:u w:val="single"/>
                          <w:rtl/>
                        </w:rPr>
                        <w:t>15)</w:t>
                      </w:r>
                      <w:r w:rsidR="0076769B" w:rsidRPr="0076769B">
                        <w:rPr>
                          <w:rFonts w:hint="cs"/>
                          <w:b/>
                          <w:bCs/>
                          <w:u w:val="single"/>
                          <w:rtl/>
                        </w:rPr>
                        <w:t>מגן אבות לר' שלמה קלוגר</w:t>
                      </w:r>
                      <w:r w:rsidRPr="0076769B">
                        <w:rPr>
                          <w:rFonts w:hint="cs"/>
                          <w:b/>
                          <w:bCs/>
                          <w:u w:val="single"/>
                          <w:rtl/>
                        </w:rPr>
                        <w:t xml:space="preserve"> </w:t>
                      </w:r>
                    </w:p>
                    <w:p w:rsidR="00855056" w:rsidRDefault="00855056" w:rsidP="00855056">
                      <w:r>
                        <w:rPr>
                          <w:noProof/>
                        </w:rPr>
                        <w:drawing>
                          <wp:inline distT="0" distB="0" distL="0" distR="0" wp14:anchorId="41DCAAE0" wp14:editId="49943C59">
                            <wp:extent cx="3218180" cy="212086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18180" cy="2120865"/>
                                    </a:xfrm>
                                    <a:prstGeom prst="rect">
                                      <a:avLst/>
                                    </a:prstGeom>
                                  </pic:spPr>
                                </pic:pic>
                              </a:graphicData>
                            </a:graphic>
                          </wp:inline>
                        </w:drawing>
                      </w:r>
                    </w:p>
                  </w:txbxContent>
                </v:textbox>
              </v:shape>
            </w:pict>
          </mc:Fallback>
        </mc:AlternateContent>
      </w:r>
      <w:r w:rsidRPr="00855056">
        <w:rPr>
          <w:rFonts w:asciiTheme="majorBidi" w:hAnsiTheme="majorBidi" w:cstheme="majorBidi" w:hint="cs"/>
          <w:b/>
          <w:bCs/>
          <w:sz w:val="24"/>
          <w:szCs w:val="24"/>
          <w:u w:val="single"/>
          <w:rtl/>
        </w:rPr>
        <w:t>14) פרקי משה</w:t>
      </w:r>
    </w:p>
    <w:p w:rsidR="00855056" w:rsidRPr="00855056" w:rsidRDefault="00855056" w:rsidP="00855056">
      <w:pPr>
        <w:jc w:val="right"/>
        <w:rPr>
          <w:rFonts w:asciiTheme="majorBidi" w:hAnsiTheme="majorBidi" w:cstheme="majorBidi" w:hint="cs"/>
          <w:sz w:val="4"/>
          <w:szCs w:val="4"/>
          <w:rtl/>
        </w:rPr>
      </w:pPr>
    </w:p>
    <w:p w:rsidR="0076769B" w:rsidRPr="0076769B" w:rsidRDefault="00855056" w:rsidP="0076769B">
      <w:pPr>
        <w:pStyle w:val="NormalWeb"/>
        <w:shd w:val="clear" w:color="auto" w:fill="FFFFFF"/>
        <w:spacing w:before="0" w:beforeAutospacing="0" w:after="0" w:afterAutospacing="0"/>
        <w:contextualSpacing/>
        <w:rPr>
          <w:rFonts w:asciiTheme="majorBidi" w:hAnsiTheme="majorBidi" w:cstheme="majorBidi"/>
          <w:b/>
          <w:bCs/>
          <w:color w:val="222222"/>
          <w:sz w:val="20"/>
          <w:szCs w:val="20"/>
        </w:rPr>
      </w:pPr>
      <w:r>
        <w:rPr>
          <w:noProof/>
        </w:rPr>
        <w:drawing>
          <wp:anchor distT="0" distB="0" distL="114300" distR="114300" simplePos="0" relativeHeight="251658240" behindDoc="0" locked="0" layoutInCell="1" allowOverlap="1" wp14:anchorId="584C0853" wp14:editId="77E847CB">
            <wp:simplePos x="0" y="0"/>
            <wp:positionH relativeFrom="column">
              <wp:align>right</wp:align>
            </wp:positionH>
            <wp:positionV relativeFrom="paragraph">
              <wp:align>top</wp:align>
            </wp:positionV>
            <wp:extent cx="4298950" cy="2882265"/>
            <wp:effectExtent l="3492" t="0" r="0" b="0"/>
            <wp:wrapSquare wrapText="bothSides"/>
            <wp:docPr id="28" name="Picture 28" descr="C:\Users\Marks\Downloads\IMG_42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Downloads\IMG_4228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3060" t="25233" r="49235" b="32096"/>
                    <a:stretch/>
                  </pic:blipFill>
                  <pic:spPr bwMode="auto">
                    <a:xfrm rot="5400000">
                      <a:off x="0" y="0"/>
                      <a:ext cx="4307234" cy="2888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br w:type="textWrapping" w:clear="all"/>
      </w:r>
      <w:r w:rsidR="0076769B" w:rsidRPr="0076769B">
        <w:rPr>
          <w:rFonts w:asciiTheme="majorBidi" w:hAnsiTheme="majorBidi" w:cstheme="majorBidi"/>
          <w:b/>
          <w:bCs/>
          <w:color w:val="222222"/>
          <w:sz w:val="20"/>
          <w:szCs w:val="20"/>
        </w:rPr>
        <w:lastRenderedPageBreak/>
        <w:t xml:space="preserve">16) Wikipedia </w:t>
      </w:r>
    </w:p>
    <w:p w:rsidR="0076769B" w:rsidRPr="0076769B" w:rsidRDefault="0076769B" w:rsidP="0076769B">
      <w:pPr>
        <w:pStyle w:val="NormalWeb"/>
        <w:shd w:val="clear" w:color="auto" w:fill="FFFFFF"/>
        <w:spacing w:before="0" w:beforeAutospacing="0" w:after="0" w:afterAutospacing="0"/>
        <w:contextualSpacing/>
        <w:rPr>
          <w:rFonts w:asciiTheme="majorBidi" w:hAnsiTheme="majorBidi" w:cstheme="majorBidi"/>
          <w:color w:val="222222"/>
          <w:sz w:val="20"/>
          <w:szCs w:val="20"/>
        </w:rPr>
      </w:pPr>
      <w:r w:rsidRPr="0076769B">
        <w:rPr>
          <w:rFonts w:asciiTheme="majorBidi" w:hAnsiTheme="majorBidi" w:cstheme="majorBidi"/>
          <w:b/>
          <w:bCs/>
          <w:color w:val="222222"/>
          <w:sz w:val="20"/>
          <w:szCs w:val="20"/>
        </w:rPr>
        <w:t>Epicureanism</w:t>
      </w:r>
      <w:r w:rsidRPr="0076769B">
        <w:rPr>
          <w:rFonts w:asciiTheme="majorBidi" w:hAnsiTheme="majorBidi" w:cstheme="majorBidi"/>
          <w:color w:val="222222"/>
          <w:sz w:val="20"/>
          <w:szCs w:val="20"/>
        </w:rPr>
        <w:t> is a system of </w:t>
      </w:r>
      <w:hyperlink r:id="rId11" w:tooltip="Philosophy" w:history="1">
        <w:r w:rsidRPr="0076769B">
          <w:rPr>
            <w:rStyle w:val="Hyperlink"/>
            <w:rFonts w:asciiTheme="majorBidi" w:hAnsiTheme="majorBidi" w:cstheme="majorBidi"/>
            <w:color w:val="0B0080"/>
            <w:sz w:val="20"/>
            <w:szCs w:val="20"/>
          </w:rPr>
          <w:t>philosophy</w:t>
        </w:r>
      </w:hyperlink>
      <w:r w:rsidRPr="0076769B">
        <w:rPr>
          <w:rFonts w:asciiTheme="majorBidi" w:hAnsiTheme="majorBidi" w:cstheme="majorBidi"/>
          <w:color w:val="222222"/>
          <w:sz w:val="20"/>
          <w:szCs w:val="20"/>
        </w:rPr>
        <w:t> based upon the teachings of the ancient Greek philosopher </w:t>
      </w:r>
      <w:hyperlink r:id="rId12" w:tooltip="Epicurus" w:history="1">
        <w:r w:rsidRPr="0076769B">
          <w:rPr>
            <w:rStyle w:val="Hyperlink"/>
            <w:rFonts w:asciiTheme="majorBidi" w:hAnsiTheme="majorBidi" w:cstheme="majorBidi"/>
            <w:color w:val="0B0080"/>
            <w:sz w:val="20"/>
            <w:szCs w:val="20"/>
          </w:rPr>
          <w:t>Epicurus</w:t>
        </w:r>
      </w:hyperlink>
      <w:r w:rsidRPr="0076769B">
        <w:rPr>
          <w:rFonts w:asciiTheme="majorBidi" w:hAnsiTheme="majorBidi" w:cstheme="majorBidi"/>
          <w:color w:val="222222"/>
          <w:sz w:val="20"/>
          <w:szCs w:val="20"/>
        </w:rPr>
        <w:t>, founded around 307 BC. Epicurus was an </w:t>
      </w:r>
      <w:hyperlink r:id="rId13" w:tooltip="Atomism" w:history="1">
        <w:r w:rsidRPr="0076769B">
          <w:rPr>
            <w:rStyle w:val="Hyperlink"/>
            <w:rFonts w:asciiTheme="majorBidi" w:hAnsiTheme="majorBidi" w:cstheme="majorBidi"/>
            <w:color w:val="0B0080"/>
            <w:sz w:val="20"/>
            <w:szCs w:val="20"/>
          </w:rPr>
          <w:t>atomic</w:t>
        </w:r>
      </w:hyperlink>
      <w:r w:rsidRPr="0076769B">
        <w:rPr>
          <w:rFonts w:asciiTheme="majorBidi" w:hAnsiTheme="majorBidi" w:cstheme="majorBidi"/>
          <w:color w:val="222222"/>
          <w:sz w:val="20"/>
          <w:szCs w:val="20"/>
        </w:rPr>
        <w:t> </w:t>
      </w:r>
      <w:hyperlink r:id="rId14" w:tooltip="Materialism" w:history="1">
        <w:r w:rsidRPr="0076769B">
          <w:rPr>
            <w:rStyle w:val="Hyperlink"/>
            <w:rFonts w:asciiTheme="majorBidi" w:hAnsiTheme="majorBidi" w:cstheme="majorBidi"/>
            <w:color w:val="0B0080"/>
            <w:sz w:val="20"/>
            <w:szCs w:val="20"/>
          </w:rPr>
          <w:t>materialist</w:t>
        </w:r>
      </w:hyperlink>
      <w:r w:rsidRPr="0076769B">
        <w:rPr>
          <w:rFonts w:asciiTheme="majorBidi" w:hAnsiTheme="majorBidi" w:cstheme="majorBidi"/>
          <w:color w:val="222222"/>
          <w:sz w:val="20"/>
          <w:szCs w:val="20"/>
        </w:rPr>
        <w:t>, following in the steps of </w:t>
      </w:r>
      <w:hyperlink r:id="rId15" w:tooltip="Democritus" w:history="1">
        <w:r w:rsidRPr="0076769B">
          <w:rPr>
            <w:rStyle w:val="Hyperlink"/>
            <w:rFonts w:asciiTheme="majorBidi" w:hAnsiTheme="majorBidi" w:cstheme="majorBidi"/>
            <w:color w:val="0B0080"/>
            <w:sz w:val="20"/>
            <w:szCs w:val="20"/>
          </w:rPr>
          <w:t>Democritus</w:t>
        </w:r>
      </w:hyperlink>
      <w:r w:rsidRPr="0076769B">
        <w:rPr>
          <w:rFonts w:asciiTheme="majorBidi" w:hAnsiTheme="majorBidi" w:cstheme="majorBidi"/>
          <w:color w:val="222222"/>
          <w:sz w:val="20"/>
          <w:szCs w:val="20"/>
        </w:rPr>
        <w:t>. His materialism led him to a </w:t>
      </w:r>
      <w:hyperlink r:id="rId16" w:tooltip="Religious skepticism" w:history="1">
        <w:r w:rsidRPr="0076769B">
          <w:rPr>
            <w:rStyle w:val="Hyperlink"/>
            <w:rFonts w:asciiTheme="majorBidi" w:hAnsiTheme="majorBidi" w:cstheme="majorBidi"/>
            <w:color w:val="0B0080"/>
            <w:sz w:val="20"/>
            <w:szCs w:val="20"/>
          </w:rPr>
          <w:t>general attack on superstition and divine intervention</w:t>
        </w:r>
      </w:hyperlink>
      <w:r w:rsidRPr="0076769B">
        <w:rPr>
          <w:rFonts w:asciiTheme="majorBidi" w:hAnsiTheme="majorBidi" w:cstheme="majorBidi"/>
          <w:color w:val="222222"/>
          <w:sz w:val="20"/>
          <w:szCs w:val="20"/>
        </w:rPr>
        <w:t>. Following </w:t>
      </w:r>
      <w:hyperlink r:id="rId17" w:tooltip="Aristippus" w:history="1">
        <w:r w:rsidRPr="0076769B">
          <w:rPr>
            <w:rStyle w:val="Hyperlink"/>
            <w:rFonts w:asciiTheme="majorBidi" w:hAnsiTheme="majorBidi" w:cstheme="majorBidi"/>
            <w:color w:val="0B0080"/>
            <w:sz w:val="20"/>
            <w:szCs w:val="20"/>
          </w:rPr>
          <w:t>Aristippus</w:t>
        </w:r>
      </w:hyperlink>
      <w:r w:rsidRPr="0076769B">
        <w:rPr>
          <w:rFonts w:asciiTheme="majorBidi" w:hAnsiTheme="majorBidi" w:cstheme="majorBidi"/>
          <w:color w:val="222222"/>
          <w:sz w:val="20"/>
          <w:szCs w:val="20"/>
        </w:rPr>
        <w:t>—about whom very little is known—Epicurus believed that what he called "pleasure" was the greatest good, but that the way to attain such pleasure was to live modestly, to gain knowledge of the workings of the world, and to limit one's desires. This would lead one to attain a state of tranquility (</w:t>
      </w:r>
      <w:hyperlink r:id="rId18" w:tooltip="Ataraxia" w:history="1">
        <w:r w:rsidRPr="0076769B">
          <w:rPr>
            <w:rStyle w:val="Hyperlink"/>
            <w:rFonts w:asciiTheme="majorBidi" w:hAnsiTheme="majorBidi" w:cstheme="majorBidi"/>
            <w:i/>
            <w:iCs/>
            <w:color w:val="0B0080"/>
            <w:sz w:val="20"/>
            <w:szCs w:val="20"/>
          </w:rPr>
          <w:t>ataraxia</w:t>
        </w:r>
      </w:hyperlink>
      <w:r w:rsidRPr="0076769B">
        <w:rPr>
          <w:rFonts w:asciiTheme="majorBidi" w:hAnsiTheme="majorBidi" w:cstheme="majorBidi"/>
          <w:color w:val="222222"/>
          <w:sz w:val="20"/>
          <w:szCs w:val="20"/>
        </w:rPr>
        <w:t>) and freedom from fear as well as an absence of bodily pain (</w:t>
      </w:r>
      <w:hyperlink r:id="rId19" w:tooltip="Aponia" w:history="1">
        <w:r w:rsidRPr="0076769B">
          <w:rPr>
            <w:rStyle w:val="Hyperlink"/>
            <w:rFonts w:asciiTheme="majorBidi" w:hAnsiTheme="majorBidi" w:cstheme="majorBidi"/>
            <w:i/>
            <w:iCs/>
            <w:color w:val="0B0080"/>
            <w:sz w:val="20"/>
            <w:szCs w:val="20"/>
          </w:rPr>
          <w:t>aponia</w:t>
        </w:r>
      </w:hyperlink>
      <w:r w:rsidRPr="0076769B">
        <w:rPr>
          <w:rFonts w:asciiTheme="majorBidi" w:hAnsiTheme="majorBidi" w:cstheme="majorBidi"/>
          <w:color w:val="222222"/>
          <w:sz w:val="20"/>
          <w:szCs w:val="20"/>
        </w:rPr>
        <w:t>). The combination of these two states constitutes happiness in its highest form. Although Epicureanism is a form of </w:t>
      </w:r>
      <w:hyperlink r:id="rId20" w:tooltip="Hedonism" w:history="1">
        <w:r w:rsidRPr="0076769B">
          <w:rPr>
            <w:rStyle w:val="Hyperlink"/>
            <w:rFonts w:asciiTheme="majorBidi" w:hAnsiTheme="majorBidi" w:cstheme="majorBidi"/>
            <w:color w:val="0B0080"/>
            <w:sz w:val="20"/>
            <w:szCs w:val="20"/>
          </w:rPr>
          <w:t>hedonism</w:t>
        </w:r>
      </w:hyperlink>
      <w:r w:rsidRPr="0076769B">
        <w:rPr>
          <w:rFonts w:asciiTheme="majorBidi" w:hAnsiTheme="majorBidi" w:cstheme="majorBidi"/>
          <w:color w:val="222222"/>
          <w:sz w:val="20"/>
          <w:szCs w:val="20"/>
        </w:rPr>
        <w:t> insofar as it declares pleasure to be its sole intrinsic goal, the concept that the absence of pain and fear constitutes the greatest pleasure, and its advocacy of a simple life, make it very different from "hedonism" as </w:t>
      </w:r>
      <w:hyperlink r:id="rId21" w:tooltip="Colloquially" w:history="1">
        <w:r w:rsidRPr="0076769B">
          <w:rPr>
            <w:rStyle w:val="Hyperlink"/>
            <w:rFonts w:asciiTheme="majorBidi" w:hAnsiTheme="majorBidi" w:cstheme="majorBidi"/>
            <w:color w:val="0B0080"/>
            <w:sz w:val="20"/>
            <w:szCs w:val="20"/>
          </w:rPr>
          <w:t>colloquially</w:t>
        </w:r>
      </w:hyperlink>
      <w:r w:rsidRPr="0076769B">
        <w:rPr>
          <w:rFonts w:asciiTheme="majorBidi" w:hAnsiTheme="majorBidi" w:cstheme="majorBidi"/>
          <w:color w:val="222222"/>
          <w:sz w:val="20"/>
          <w:szCs w:val="20"/>
        </w:rPr>
        <w:t> understood.</w:t>
      </w:r>
    </w:p>
    <w:p w:rsidR="0076769B" w:rsidRPr="0076769B" w:rsidRDefault="0076769B" w:rsidP="0076769B">
      <w:pPr>
        <w:pStyle w:val="NormalWeb"/>
        <w:shd w:val="clear" w:color="auto" w:fill="FFFFFF"/>
        <w:spacing w:before="0" w:beforeAutospacing="0" w:after="0" w:afterAutospacing="0"/>
        <w:contextualSpacing/>
        <w:rPr>
          <w:rFonts w:asciiTheme="majorBidi" w:hAnsiTheme="majorBidi" w:cstheme="majorBidi" w:hint="cs"/>
          <w:color w:val="222222"/>
          <w:sz w:val="6"/>
          <w:szCs w:val="6"/>
          <w:rtl/>
        </w:rPr>
      </w:pPr>
    </w:p>
    <w:p w:rsidR="0076769B" w:rsidRDefault="0076769B" w:rsidP="0076769B">
      <w:pPr>
        <w:pStyle w:val="NormalWeb"/>
        <w:shd w:val="clear" w:color="auto" w:fill="FFFFFF"/>
        <w:spacing w:before="0" w:beforeAutospacing="0" w:after="0" w:afterAutospacing="0"/>
        <w:contextualSpacing/>
        <w:rPr>
          <w:rFonts w:asciiTheme="majorBidi" w:hAnsiTheme="majorBidi" w:cstheme="majorBidi" w:hint="cs"/>
          <w:color w:val="222222"/>
          <w:sz w:val="20"/>
          <w:szCs w:val="20"/>
          <w:rtl/>
        </w:rPr>
      </w:pPr>
      <w:r w:rsidRPr="0076769B">
        <w:rPr>
          <w:rFonts w:asciiTheme="majorBidi" w:hAnsiTheme="majorBidi" w:cstheme="majorBidi"/>
          <w:color w:val="222222"/>
          <w:sz w:val="20"/>
          <w:szCs w:val="20"/>
        </w:rPr>
        <w:t>Epicureanism emphasizes the neutrality of the gods, that they do not interfere with human lives. It states that gods, matter, and souls are all made up of </w:t>
      </w:r>
      <w:hyperlink r:id="rId22" w:tooltip="Atom" w:history="1">
        <w:r w:rsidRPr="0076769B">
          <w:rPr>
            <w:rStyle w:val="Hyperlink"/>
            <w:rFonts w:asciiTheme="majorBidi" w:hAnsiTheme="majorBidi" w:cstheme="majorBidi"/>
            <w:color w:val="0B0080"/>
            <w:sz w:val="20"/>
            <w:szCs w:val="20"/>
          </w:rPr>
          <w:t>atoms</w:t>
        </w:r>
      </w:hyperlink>
      <w:r w:rsidRPr="0076769B">
        <w:rPr>
          <w:rFonts w:asciiTheme="majorBidi" w:hAnsiTheme="majorBidi" w:cstheme="majorBidi"/>
          <w:color w:val="222222"/>
          <w:sz w:val="20"/>
          <w:szCs w:val="20"/>
        </w:rPr>
        <w:t>. Souls are made from atoms, and gods possess souls, but their souls adhere to their bodies without escaping. Humans have the same kind of souls, but the forces binding human atoms together do not hold the soul forever. The Epicureans also used the </w:t>
      </w:r>
      <w:hyperlink r:id="rId23" w:tooltip="Atomist" w:history="1">
        <w:r w:rsidRPr="0076769B">
          <w:rPr>
            <w:rStyle w:val="Hyperlink"/>
            <w:rFonts w:asciiTheme="majorBidi" w:hAnsiTheme="majorBidi" w:cstheme="majorBidi"/>
            <w:color w:val="0B0080"/>
            <w:sz w:val="20"/>
            <w:szCs w:val="20"/>
          </w:rPr>
          <w:t>atomist</w:t>
        </w:r>
      </w:hyperlink>
      <w:r w:rsidRPr="0076769B">
        <w:rPr>
          <w:rFonts w:asciiTheme="majorBidi" w:hAnsiTheme="majorBidi" w:cstheme="majorBidi"/>
          <w:color w:val="222222"/>
          <w:sz w:val="20"/>
          <w:szCs w:val="20"/>
        </w:rPr>
        <w:t> theories of </w:t>
      </w:r>
      <w:hyperlink r:id="rId24" w:tooltip="Democritus" w:history="1">
        <w:r w:rsidRPr="0076769B">
          <w:rPr>
            <w:rStyle w:val="Hyperlink"/>
            <w:rFonts w:asciiTheme="majorBidi" w:hAnsiTheme="majorBidi" w:cstheme="majorBidi"/>
            <w:color w:val="0B0080"/>
            <w:sz w:val="20"/>
            <w:szCs w:val="20"/>
          </w:rPr>
          <w:t>Democritus</w:t>
        </w:r>
      </w:hyperlink>
      <w:r w:rsidRPr="0076769B">
        <w:rPr>
          <w:rFonts w:asciiTheme="majorBidi" w:hAnsiTheme="majorBidi" w:cstheme="majorBidi"/>
          <w:color w:val="222222"/>
          <w:sz w:val="20"/>
          <w:szCs w:val="20"/>
        </w:rPr>
        <w:t> and </w:t>
      </w:r>
      <w:hyperlink r:id="rId25" w:tooltip="Leucippus" w:history="1">
        <w:r w:rsidRPr="0076769B">
          <w:rPr>
            <w:rStyle w:val="Hyperlink"/>
            <w:rFonts w:asciiTheme="majorBidi" w:hAnsiTheme="majorBidi" w:cstheme="majorBidi"/>
            <w:color w:val="0B0080"/>
            <w:sz w:val="20"/>
            <w:szCs w:val="20"/>
          </w:rPr>
          <w:t>Leucippus</w:t>
        </w:r>
      </w:hyperlink>
      <w:r w:rsidRPr="0076769B">
        <w:rPr>
          <w:rFonts w:asciiTheme="majorBidi" w:hAnsiTheme="majorBidi" w:cstheme="majorBidi"/>
          <w:color w:val="222222"/>
          <w:sz w:val="20"/>
          <w:szCs w:val="20"/>
        </w:rPr>
        <w:t> to assert that man has free will. They held that all thoughts are merely atoms swerving randomly….</w:t>
      </w:r>
    </w:p>
    <w:p w:rsidR="0076769B" w:rsidRPr="0076769B" w:rsidRDefault="0076769B" w:rsidP="0076769B">
      <w:pPr>
        <w:pStyle w:val="NormalWeb"/>
        <w:shd w:val="clear" w:color="auto" w:fill="FFFFFF"/>
        <w:spacing w:before="0" w:beforeAutospacing="0" w:after="0" w:afterAutospacing="0"/>
        <w:contextualSpacing/>
        <w:rPr>
          <w:rFonts w:asciiTheme="majorBidi" w:hAnsiTheme="majorBidi" w:cstheme="majorBidi"/>
          <w:color w:val="222222"/>
          <w:sz w:val="6"/>
          <w:szCs w:val="6"/>
        </w:rPr>
      </w:pPr>
    </w:p>
    <w:p w:rsidR="00442E0E" w:rsidRDefault="0076769B" w:rsidP="0076769B">
      <w:pPr>
        <w:pStyle w:val="NormalWeb"/>
        <w:shd w:val="clear" w:color="auto" w:fill="FFFFFF"/>
        <w:spacing w:before="0" w:beforeAutospacing="0" w:after="0" w:afterAutospacing="0"/>
        <w:contextualSpacing/>
        <w:rPr>
          <w:rFonts w:asciiTheme="majorBidi" w:hAnsiTheme="majorBidi" w:cstheme="majorBidi" w:hint="cs"/>
          <w:i/>
          <w:iCs/>
          <w:sz w:val="20"/>
          <w:szCs w:val="20"/>
          <w:rtl/>
        </w:rPr>
      </w:pPr>
      <w:r w:rsidRPr="0076769B">
        <w:rPr>
          <w:rFonts w:asciiTheme="majorBidi" w:hAnsiTheme="majorBidi" w:cstheme="majorBidi"/>
          <w:color w:val="222222"/>
          <w:sz w:val="20"/>
          <w:szCs w:val="20"/>
        </w:rPr>
        <w:t>Epicurus' view was that there were gods, but that they were neither willing nor able to prevent evil. This was not because they were malevolent, but because they lived in a perfect state of </w:t>
      </w:r>
      <w:hyperlink r:id="rId26" w:tooltip="Ataraxia" w:history="1">
        <w:r w:rsidRPr="0076769B">
          <w:rPr>
            <w:rStyle w:val="Hyperlink"/>
            <w:rFonts w:asciiTheme="majorBidi" w:hAnsiTheme="majorBidi" w:cstheme="majorBidi"/>
            <w:i/>
            <w:iCs/>
            <w:color w:val="0B0080"/>
            <w:sz w:val="20"/>
            <w:szCs w:val="20"/>
          </w:rPr>
          <w:t>ataraxia</w:t>
        </w:r>
      </w:hyperlink>
      <w:r w:rsidRPr="0076769B">
        <w:rPr>
          <w:rFonts w:asciiTheme="majorBidi" w:hAnsiTheme="majorBidi" w:cstheme="majorBidi"/>
          <w:color w:val="222222"/>
          <w:sz w:val="20"/>
          <w:szCs w:val="20"/>
        </w:rPr>
        <w:t>, a state everyone should strive to emulate; it is not the gods who are upset by evils, but people.</w:t>
      </w:r>
      <w:hyperlink r:id="rId27" w:anchor="cite_note-larrimore-7" w:history="1">
        <w:r w:rsidRPr="0076769B">
          <w:rPr>
            <w:rStyle w:val="Hyperlink"/>
            <w:rFonts w:asciiTheme="majorBidi" w:hAnsiTheme="majorBidi" w:cstheme="majorBidi"/>
            <w:color w:val="0B0080"/>
            <w:sz w:val="20"/>
            <w:szCs w:val="20"/>
            <w:vertAlign w:val="superscript"/>
          </w:rPr>
          <w:t>[7]</w:t>
        </w:r>
      </w:hyperlink>
      <w:r w:rsidRPr="0076769B">
        <w:rPr>
          <w:rFonts w:asciiTheme="majorBidi" w:hAnsiTheme="majorBidi" w:cstheme="majorBidi"/>
          <w:color w:val="222222"/>
          <w:sz w:val="20"/>
          <w:szCs w:val="20"/>
        </w:rPr>
        <w:t> Epicurus conceived the gods as blissful and immortal yet material beings made of atoms inhabiting the </w:t>
      </w:r>
      <w:hyperlink r:id="rId28" w:tooltip="Metakosmia" w:history="1">
        <w:r w:rsidRPr="0076769B">
          <w:rPr>
            <w:rStyle w:val="Hyperlink"/>
            <w:rFonts w:asciiTheme="majorBidi" w:hAnsiTheme="majorBidi" w:cstheme="majorBidi"/>
            <w:i/>
            <w:iCs/>
            <w:color w:val="0B0080"/>
            <w:sz w:val="20"/>
            <w:szCs w:val="20"/>
          </w:rPr>
          <w:t>metakosmia</w:t>
        </w:r>
      </w:hyperlink>
      <w:r w:rsidRPr="0076769B">
        <w:rPr>
          <w:rFonts w:asciiTheme="majorBidi" w:hAnsiTheme="majorBidi" w:cstheme="majorBidi"/>
          <w:color w:val="222222"/>
          <w:sz w:val="20"/>
          <w:szCs w:val="20"/>
        </w:rPr>
        <w:t>: empty spaces between worlds in the vastness of infinite space. In spite of his recognition of the gods, the practical effect of this materialistic explanation of the gods' existence and their complete non-intervention in human affairs renders his philosophy akin in divine effects to the attitude of </w:t>
      </w:r>
      <w:hyperlink r:id="rId29" w:tooltip="Deism" w:history="1">
        <w:r w:rsidRPr="0076769B">
          <w:rPr>
            <w:rStyle w:val="Hyperlink"/>
            <w:rFonts w:asciiTheme="majorBidi" w:hAnsiTheme="majorBidi" w:cstheme="majorBidi"/>
            <w:color w:val="0B0080"/>
            <w:sz w:val="20"/>
            <w:szCs w:val="20"/>
          </w:rPr>
          <w:t>Deism</w:t>
        </w:r>
      </w:hyperlink>
      <w:r w:rsidRPr="0076769B">
        <w:rPr>
          <w:rFonts w:asciiTheme="majorBidi" w:hAnsiTheme="majorBidi" w:cstheme="majorBidi"/>
          <w:color w:val="222222"/>
          <w:sz w:val="20"/>
          <w:szCs w:val="20"/>
        </w:rPr>
        <w:t>…..</w:t>
      </w:r>
      <w:r w:rsidRPr="0076769B">
        <w:rPr>
          <w:rFonts w:asciiTheme="majorBidi" w:hAnsiTheme="majorBidi" w:cstheme="majorBidi"/>
          <w:i/>
          <w:iCs/>
          <w:sz w:val="20"/>
          <w:szCs w:val="20"/>
        </w:rPr>
        <w:t xml:space="preserve"> </w:t>
      </w:r>
    </w:p>
    <w:p w:rsidR="0076769B" w:rsidRPr="0076769B" w:rsidRDefault="0076769B" w:rsidP="0076769B">
      <w:pPr>
        <w:pStyle w:val="NormalWeb"/>
        <w:shd w:val="clear" w:color="auto" w:fill="FFFFFF"/>
        <w:spacing w:before="0" w:beforeAutospacing="0" w:after="0" w:afterAutospacing="0"/>
        <w:contextualSpacing/>
        <w:rPr>
          <w:rFonts w:asciiTheme="majorBidi" w:hAnsiTheme="majorBidi" w:cstheme="majorBidi"/>
          <w:sz w:val="22"/>
          <w:szCs w:val="22"/>
        </w:rPr>
      </w:pPr>
    </w:p>
    <w:p w:rsidR="0076769B" w:rsidRPr="0076769B" w:rsidRDefault="0076769B" w:rsidP="0076769B">
      <w:pPr>
        <w:pStyle w:val="ListParagraph"/>
        <w:shd w:val="clear" w:color="auto" w:fill="FFFFFF"/>
        <w:bidi/>
        <w:ind w:left="0"/>
        <w:rPr>
          <w:rFonts w:ascii="Arial" w:eastAsia="Times New Roman" w:hAnsi="Arial" w:cs="Arial" w:hint="cs"/>
          <w:b/>
          <w:bCs/>
          <w:color w:val="222222"/>
          <w:u w:val="single"/>
          <w:rtl/>
        </w:rPr>
      </w:pPr>
      <w:r w:rsidRPr="0076769B">
        <w:rPr>
          <w:rFonts w:ascii="Arial" w:eastAsia="Times New Roman" w:hAnsi="Arial" w:cs="Arial" w:hint="cs"/>
          <w:b/>
          <w:bCs/>
          <w:color w:val="222222"/>
          <w:u w:val="single"/>
          <w:rtl/>
        </w:rPr>
        <w:t>17) "</w:t>
      </w:r>
      <w:r w:rsidRPr="0076769B">
        <w:rPr>
          <w:rFonts w:ascii="Arial" w:eastAsia="Times New Roman" w:hAnsi="Arial" w:cs="Arial"/>
          <w:b/>
          <w:bCs/>
          <w:color w:val="222222"/>
          <w:u w:val="single"/>
          <w:rtl/>
        </w:rPr>
        <w:t>דע מה שתשיב לאפיקורוס</w:t>
      </w:r>
      <w:r w:rsidRPr="0076769B">
        <w:rPr>
          <w:rFonts w:ascii="Arial" w:eastAsia="Times New Roman" w:hAnsi="Arial" w:cs="Arial"/>
          <w:b/>
          <w:bCs/>
          <w:color w:val="222222"/>
          <w:u w:val="single"/>
        </w:rPr>
        <w:t xml:space="preserve"> </w:t>
      </w:r>
      <w:r w:rsidRPr="0076769B">
        <w:rPr>
          <w:rFonts w:ascii="Arial" w:eastAsia="Times New Roman" w:hAnsi="Arial" w:cs="Arial" w:hint="cs"/>
          <w:b/>
          <w:bCs/>
          <w:color w:val="222222"/>
          <w:u w:val="single"/>
          <w:rtl/>
        </w:rPr>
        <w:t>" מאת יהודה ליבס, מדעי היהדות 40 תש"ס 55-61</w:t>
      </w:r>
    </w:p>
    <w:p w:rsidR="00DD7664" w:rsidRDefault="00DD7664" w:rsidP="0076769B">
      <w:pPr>
        <w:jc w:val="right"/>
      </w:pPr>
      <w:r>
        <w:rPr>
          <w:noProof/>
        </w:rPr>
        <w:drawing>
          <wp:inline distT="0" distB="0" distL="0" distR="0" wp14:anchorId="0EB9219A" wp14:editId="25AE2EC2">
            <wp:extent cx="4022634" cy="308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24715" cy="3087696"/>
                    </a:xfrm>
                    <a:prstGeom prst="rect">
                      <a:avLst/>
                    </a:prstGeom>
                  </pic:spPr>
                </pic:pic>
              </a:graphicData>
            </a:graphic>
          </wp:inline>
        </w:drawing>
      </w:r>
    </w:p>
    <w:p w:rsidR="00442E0E" w:rsidRPr="0076769B" w:rsidRDefault="00DD7664" w:rsidP="0076769B">
      <w:pPr>
        <w:jc w:val="right"/>
        <w:rPr>
          <w:rtl/>
        </w:rPr>
      </w:pPr>
      <w:r>
        <w:rPr>
          <w:noProof/>
        </w:rPr>
        <w:drawing>
          <wp:inline distT="0" distB="0" distL="0" distR="0" wp14:anchorId="33B08C71" wp14:editId="17088712">
            <wp:extent cx="4000757" cy="259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06071" cy="2594241"/>
                    </a:xfrm>
                    <a:prstGeom prst="rect">
                      <a:avLst/>
                    </a:prstGeom>
                  </pic:spPr>
                </pic:pic>
              </a:graphicData>
            </a:graphic>
          </wp:inline>
        </w:drawing>
      </w:r>
      <w:bookmarkStart w:id="0" w:name="_GoBack"/>
      <w:bookmarkEnd w:id="0"/>
    </w:p>
    <w:sectPr w:rsidR="00442E0E" w:rsidRPr="0076769B" w:rsidSect="009345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53EBD"/>
    <w:multiLevelType w:val="hybridMultilevel"/>
    <w:tmpl w:val="3524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9432CC"/>
    <w:multiLevelType w:val="hybridMultilevel"/>
    <w:tmpl w:val="021AD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3F"/>
    <w:rsid w:val="000021E8"/>
    <w:rsid w:val="001333AC"/>
    <w:rsid w:val="001D5267"/>
    <w:rsid w:val="002C67EF"/>
    <w:rsid w:val="00442E0E"/>
    <w:rsid w:val="00713A78"/>
    <w:rsid w:val="007242DB"/>
    <w:rsid w:val="0076769B"/>
    <w:rsid w:val="00827238"/>
    <w:rsid w:val="00855056"/>
    <w:rsid w:val="00881765"/>
    <w:rsid w:val="009332BE"/>
    <w:rsid w:val="0093453D"/>
    <w:rsid w:val="00A11074"/>
    <w:rsid w:val="00A12549"/>
    <w:rsid w:val="00A7603F"/>
    <w:rsid w:val="00B148E1"/>
    <w:rsid w:val="00C32B1F"/>
    <w:rsid w:val="00CB4151"/>
    <w:rsid w:val="00DD7664"/>
    <w:rsid w:val="00E62C2E"/>
    <w:rsid w:val="00EB278B"/>
    <w:rsid w:val="00F11D18"/>
    <w:rsid w:val="00F542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4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53D"/>
    <w:pPr>
      <w:ind w:left="720"/>
      <w:contextualSpacing/>
    </w:pPr>
  </w:style>
  <w:style w:type="character" w:styleId="Hyperlink">
    <w:name w:val="Hyperlink"/>
    <w:basedOn w:val="DefaultParagraphFont"/>
    <w:uiPriority w:val="99"/>
    <w:semiHidden/>
    <w:unhideWhenUsed/>
    <w:rsid w:val="009332BE"/>
    <w:rPr>
      <w:color w:val="0000FF"/>
      <w:u w:val="single"/>
    </w:rPr>
  </w:style>
  <w:style w:type="paragraph" w:styleId="BalloonText">
    <w:name w:val="Balloon Text"/>
    <w:basedOn w:val="Normal"/>
    <w:link w:val="BalloonTextChar"/>
    <w:uiPriority w:val="99"/>
    <w:semiHidden/>
    <w:unhideWhenUsed/>
    <w:rsid w:val="00B148E1"/>
    <w:rPr>
      <w:rFonts w:ascii="Tahoma" w:hAnsi="Tahoma" w:cs="Tahoma"/>
      <w:sz w:val="16"/>
      <w:szCs w:val="16"/>
    </w:rPr>
  </w:style>
  <w:style w:type="character" w:customStyle="1" w:styleId="BalloonTextChar">
    <w:name w:val="Balloon Text Char"/>
    <w:basedOn w:val="DefaultParagraphFont"/>
    <w:link w:val="BalloonText"/>
    <w:uiPriority w:val="99"/>
    <w:semiHidden/>
    <w:rsid w:val="00B148E1"/>
    <w:rPr>
      <w:rFonts w:ascii="Tahoma" w:hAnsi="Tahoma" w:cs="Tahoma"/>
      <w:sz w:val="16"/>
      <w:szCs w:val="16"/>
    </w:rPr>
  </w:style>
  <w:style w:type="paragraph" w:styleId="NormalWeb">
    <w:name w:val="Normal (Web)"/>
    <w:basedOn w:val="Normal"/>
    <w:uiPriority w:val="99"/>
    <w:unhideWhenUsed/>
    <w:rsid w:val="00442E0E"/>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4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53D"/>
    <w:pPr>
      <w:ind w:left="720"/>
      <w:contextualSpacing/>
    </w:pPr>
  </w:style>
  <w:style w:type="character" w:styleId="Hyperlink">
    <w:name w:val="Hyperlink"/>
    <w:basedOn w:val="DefaultParagraphFont"/>
    <w:uiPriority w:val="99"/>
    <w:semiHidden/>
    <w:unhideWhenUsed/>
    <w:rsid w:val="009332BE"/>
    <w:rPr>
      <w:color w:val="0000FF"/>
      <w:u w:val="single"/>
    </w:rPr>
  </w:style>
  <w:style w:type="paragraph" w:styleId="BalloonText">
    <w:name w:val="Balloon Text"/>
    <w:basedOn w:val="Normal"/>
    <w:link w:val="BalloonTextChar"/>
    <w:uiPriority w:val="99"/>
    <w:semiHidden/>
    <w:unhideWhenUsed/>
    <w:rsid w:val="00B148E1"/>
    <w:rPr>
      <w:rFonts w:ascii="Tahoma" w:hAnsi="Tahoma" w:cs="Tahoma"/>
      <w:sz w:val="16"/>
      <w:szCs w:val="16"/>
    </w:rPr>
  </w:style>
  <w:style w:type="character" w:customStyle="1" w:styleId="BalloonTextChar">
    <w:name w:val="Balloon Text Char"/>
    <w:basedOn w:val="DefaultParagraphFont"/>
    <w:link w:val="BalloonText"/>
    <w:uiPriority w:val="99"/>
    <w:semiHidden/>
    <w:rsid w:val="00B148E1"/>
    <w:rPr>
      <w:rFonts w:ascii="Tahoma" w:hAnsi="Tahoma" w:cs="Tahoma"/>
      <w:sz w:val="16"/>
      <w:szCs w:val="16"/>
    </w:rPr>
  </w:style>
  <w:style w:type="paragraph" w:styleId="NormalWeb">
    <w:name w:val="Normal (Web)"/>
    <w:basedOn w:val="Normal"/>
    <w:uiPriority w:val="99"/>
    <w:unhideWhenUsed/>
    <w:rsid w:val="00442E0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55450">
      <w:bodyDiv w:val="1"/>
      <w:marLeft w:val="0"/>
      <w:marRight w:val="0"/>
      <w:marTop w:val="0"/>
      <w:marBottom w:val="0"/>
      <w:divBdr>
        <w:top w:val="none" w:sz="0" w:space="0" w:color="auto"/>
        <w:left w:val="none" w:sz="0" w:space="0" w:color="auto"/>
        <w:bottom w:val="none" w:sz="0" w:space="0" w:color="auto"/>
        <w:right w:val="none" w:sz="0" w:space="0" w:color="auto"/>
      </w:divBdr>
    </w:div>
    <w:div w:id="1725642381">
      <w:bodyDiv w:val="1"/>
      <w:marLeft w:val="0"/>
      <w:marRight w:val="0"/>
      <w:marTop w:val="0"/>
      <w:marBottom w:val="0"/>
      <w:divBdr>
        <w:top w:val="none" w:sz="0" w:space="0" w:color="auto"/>
        <w:left w:val="none" w:sz="0" w:space="0" w:color="auto"/>
        <w:bottom w:val="none" w:sz="0" w:space="0" w:color="auto"/>
        <w:right w:val="none" w:sz="0" w:space="0" w:color="auto"/>
      </w:divBdr>
    </w:div>
    <w:div w:id="1768889252">
      <w:bodyDiv w:val="1"/>
      <w:marLeft w:val="0"/>
      <w:marRight w:val="0"/>
      <w:marTop w:val="0"/>
      <w:marBottom w:val="0"/>
      <w:divBdr>
        <w:top w:val="none" w:sz="0" w:space="0" w:color="auto"/>
        <w:left w:val="none" w:sz="0" w:space="0" w:color="auto"/>
        <w:bottom w:val="none" w:sz="0" w:space="0" w:color="auto"/>
        <w:right w:val="none" w:sz="0" w:space="0" w:color="auto"/>
      </w:divBdr>
      <w:divsChild>
        <w:div w:id="1874727247">
          <w:marLeft w:val="0"/>
          <w:marRight w:val="0"/>
          <w:marTop w:val="0"/>
          <w:marBottom w:val="0"/>
          <w:divBdr>
            <w:top w:val="none" w:sz="0" w:space="0" w:color="auto"/>
            <w:left w:val="none" w:sz="0" w:space="0" w:color="auto"/>
            <w:bottom w:val="none" w:sz="0" w:space="0" w:color="auto"/>
            <w:right w:val="none" w:sz="0" w:space="0" w:color="auto"/>
          </w:divBdr>
        </w:div>
        <w:div w:id="221212693">
          <w:marLeft w:val="0"/>
          <w:marRight w:val="0"/>
          <w:marTop w:val="0"/>
          <w:marBottom w:val="0"/>
          <w:divBdr>
            <w:top w:val="none" w:sz="0" w:space="0" w:color="auto"/>
            <w:left w:val="none" w:sz="0" w:space="0" w:color="auto"/>
            <w:bottom w:val="none" w:sz="0" w:space="0" w:color="auto"/>
            <w:right w:val="none" w:sz="0" w:space="0" w:color="auto"/>
          </w:divBdr>
        </w:div>
        <w:div w:id="161820626">
          <w:marLeft w:val="0"/>
          <w:marRight w:val="0"/>
          <w:marTop w:val="0"/>
          <w:marBottom w:val="0"/>
          <w:divBdr>
            <w:top w:val="none" w:sz="0" w:space="0" w:color="auto"/>
            <w:left w:val="none" w:sz="0" w:space="0" w:color="auto"/>
            <w:bottom w:val="none" w:sz="0" w:space="0" w:color="auto"/>
            <w:right w:val="none" w:sz="0" w:space="0" w:color="auto"/>
          </w:divBdr>
        </w:div>
        <w:div w:id="350421421">
          <w:marLeft w:val="0"/>
          <w:marRight w:val="0"/>
          <w:marTop w:val="0"/>
          <w:marBottom w:val="0"/>
          <w:divBdr>
            <w:top w:val="none" w:sz="0" w:space="0" w:color="auto"/>
            <w:left w:val="none" w:sz="0" w:space="0" w:color="auto"/>
            <w:bottom w:val="none" w:sz="0" w:space="0" w:color="auto"/>
            <w:right w:val="none" w:sz="0" w:space="0" w:color="auto"/>
          </w:divBdr>
        </w:div>
        <w:div w:id="1614245698">
          <w:marLeft w:val="0"/>
          <w:marRight w:val="0"/>
          <w:marTop w:val="0"/>
          <w:marBottom w:val="0"/>
          <w:divBdr>
            <w:top w:val="none" w:sz="0" w:space="0" w:color="auto"/>
            <w:left w:val="none" w:sz="0" w:space="0" w:color="auto"/>
            <w:bottom w:val="none" w:sz="0" w:space="0" w:color="auto"/>
            <w:right w:val="none" w:sz="0" w:space="0" w:color="auto"/>
          </w:divBdr>
        </w:div>
        <w:div w:id="1547713060">
          <w:marLeft w:val="0"/>
          <w:marRight w:val="0"/>
          <w:marTop w:val="0"/>
          <w:marBottom w:val="0"/>
          <w:divBdr>
            <w:top w:val="none" w:sz="0" w:space="0" w:color="auto"/>
            <w:left w:val="none" w:sz="0" w:space="0" w:color="auto"/>
            <w:bottom w:val="none" w:sz="0" w:space="0" w:color="auto"/>
            <w:right w:val="none" w:sz="0" w:space="0" w:color="auto"/>
          </w:divBdr>
        </w:div>
        <w:div w:id="581380552">
          <w:marLeft w:val="0"/>
          <w:marRight w:val="0"/>
          <w:marTop w:val="0"/>
          <w:marBottom w:val="0"/>
          <w:divBdr>
            <w:top w:val="none" w:sz="0" w:space="0" w:color="auto"/>
            <w:left w:val="none" w:sz="0" w:space="0" w:color="auto"/>
            <w:bottom w:val="none" w:sz="0" w:space="0" w:color="auto"/>
            <w:right w:val="none" w:sz="0" w:space="0" w:color="auto"/>
          </w:divBdr>
        </w:div>
        <w:div w:id="1835414565">
          <w:marLeft w:val="0"/>
          <w:marRight w:val="0"/>
          <w:marTop w:val="0"/>
          <w:marBottom w:val="0"/>
          <w:divBdr>
            <w:top w:val="none" w:sz="0" w:space="0" w:color="auto"/>
            <w:left w:val="none" w:sz="0" w:space="0" w:color="auto"/>
            <w:bottom w:val="none" w:sz="0" w:space="0" w:color="auto"/>
            <w:right w:val="none" w:sz="0" w:space="0" w:color="auto"/>
          </w:divBdr>
        </w:div>
        <w:div w:id="26762146">
          <w:marLeft w:val="0"/>
          <w:marRight w:val="0"/>
          <w:marTop w:val="0"/>
          <w:marBottom w:val="0"/>
          <w:divBdr>
            <w:top w:val="none" w:sz="0" w:space="0" w:color="auto"/>
            <w:left w:val="none" w:sz="0" w:space="0" w:color="auto"/>
            <w:bottom w:val="none" w:sz="0" w:space="0" w:color="auto"/>
            <w:right w:val="none" w:sz="0" w:space="0" w:color="auto"/>
          </w:divBdr>
        </w:div>
        <w:div w:id="167671385">
          <w:marLeft w:val="0"/>
          <w:marRight w:val="0"/>
          <w:marTop w:val="0"/>
          <w:marBottom w:val="0"/>
          <w:divBdr>
            <w:top w:val="none" w:sz="0" w:space="0" w:color="auto"/>
            <w:left w:val="none" w:sz="0" w:space="0" w:color="auto"/>
            <w:bottom w:val="none" w:sz="0" w:space="0" w:color="auto"/>
            <w:right w:val="none" w:sz="0" w:space="0" w:color="auto"/>
          </w:divBdr>
        </w:div>
        <w:div w:id="1697803420">
          <w:marLeft w:val="0"/>
          <w:marRight w:val="0"/>
          <w:marTop w:val="0"/>
          <w:marBottom w:val="0"/>
          <w:divBdr>
            <w:top w:val="none" w:sz="0" w:space="0" w:color="auto"/>
            <w:left w:val="none" w:sz="0" w:space="0" w:color="auto"/>
            <w:bottom w:val="none" w:sz="0" w:space="0" w:color="auto"/>
            <w:right w:val="none" w:sz="0" w:space="0" w:color="auto"/>
          </w:divBdr>
        </w:div>
        <w:div w:id="1245410989">
          <w:marLeft w:val="0"/>
          <w:marRight w:val="0"/>
          <w:marTop w:val="0"/>
          <w:marBottom w:val="0"/>
          <w:divBdr>
            <w:top w:val="none" w:sz="0" w:space="0" w:color="auto"/>
            <w:left w:val="none" w:sz="0" w:space="0" w:color="auto"/>
            <w:bottom w:val="none" w:sz="0" w:space="0" w:color="auto"/>
            <w:right w:val="none" w:sz="0" w:space="0" w:color="auto"/>
          </w:divBdr>
        </w:div>
        <w:div w:id="1988629282">
          <w:marLeft w:val="0"/>
          <w:marRight w:val="0"/>
          <w:marTop w:val="0"/>
          <w:marBottom w:val="0"/>
          <w:divBdr>
            <w:top w:val="none" w:sz="0" w:space="0" w:color="auto"/>
            <w:left w:val="none" w:sz="0" w:space="0" w:color="auto"/>
            <w:bottom w:val="none" w:sz="0" w:space="0" w:color="auto"/>
            <w:right w:val="none" w:sz="0" w:space="0" w:color="auto"/>
          </w:divBdr>
        </w:div>
        <w:div w:id="217670740">
          <w:marLeft w:val="0"/>
          <w:marRight w:val="0"/>
          <w:marTop w:val="0"/>
          <w:marBottom w:val="0"/>
          <w:divBdr>
            <w:top w:val="none" w:sz="0" w:space="0" w:color="auto"/>
            <w:left w:val="none" w:sz="0" w:space="0" w:color="auto"/>
            <w:bottom w:val="none" w:sz="0" w:space="0" w:color="auto"/>
            <w:right w:val="none" w:sz="0" w:space="0" w:color="auto"/>
          </w:divBdr>
        </w:div>
        <w:div w:id="2104453114">
          <w:marLeft w:val="0"/>
          <w:marRight w:val="0"/>
          <w:marTop w:val="0"/>
          <w:marBottom w:val="0"/>
          <w:divBdr>
            <w:top w:val="none" w:sz="0" w:space="0" w:color="auto"/>
            <w:left w:val="none" w:sz="0" w:space="0" w:color="auto"/>
            <w:bottom w:val="none" w:sz="0" w:space="0" w:color="auto"/>
            <w:right w:val="none" w:sz="0" w:space="0" w:color="auto"/>
          </w:divBdr>
        </w:div>
        <w:div w:id="226572101">
          <w:marLeft w:val="0"/>
          <w:marRight w:val="0"/>
          <w:marTop w:val="0"/>
          <w:marBottom w:val="0"/>
          <w:divBdr>
            <w:top w:val="none" w:sz="0" w:space="0" w:color="auto"/>
            <w:left w:val="none" w:sz="0" w:space="0" w:color="auto"/>
            <w:bottom w:val="none" w:sz="0" w:space="0" w:color="auto"/>
            <w:right w:val="none" w:sz="0" w:space="0" w:color="auto"/>
          </w:divBdr>
        </w:div>
        <w:div w:id="1624068261">
          <w:marLeft w:val="0"/>
          <w:marRight w:val="0"/>
          <w:marTop w:val="0"/>
          <w:marBottom w:val="0"/>
          <w:divBdr>
            <w:top w:val="none" w:sz="0" w:space="0" w:color="auto"/>
            <w:left w:val="none" w:sz="0" w:space="0" w:color="auto"/>
            <w:bottom w:val="none" w:sz="0" w:space="0" w:color="auto"/>
            <w:right w:val="none" w:sz="0" w:space="0" w:color="auto"/>
          </w:divBdr>
        </w:div>
      </w:divsChild>
    </w:div>
    <w:div w:id="20121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Atomism" TargetMode="External"/><Relationship Id="rId18" Type="http://schemas.openxmlformats.org/officeDocument/2006/relationships/hyperlink" Target="https://en.wikipedia.org/wiki/Ataraxia" TargetMode="External"/><Relationship Id="rId26" Type="http://schemas.openxmlformats.org/officeDocument/2006/relationships/hyperlink" Target="https://en.wikipedia.org/wiki/Ataraxia" TargetMode="External"/><Relationship Id="rId3" Type="http://schemas.microsoft.com/office/2007/relationships/stylesWithEffects" Target="stylesWithEffects.xml"/><Relationship Id="rId21" Type="http://schemas.openxmlformats.org/officeDocument/2006/relationships/hyperlink" Target="https://en.wikipedia.org/wiki/Colloquially" TargetMode="External"/><Relationship Id="rId7" Type="http://schemas.openxmlformats.org/officeDocument/2006/relationships/image" Target="media/image2.png"/><Relationship Id="rId12" Type="http://schemas.openxmlformats.org/officeDocument/2006/relationships/hyperlink" Target="https://en.wikipedia.org/wiki/Epicurus" TargetMode="External"/><Relationship Id="rId17" Type="http://schemas.openxmlformats.org/officeDocument/2006/relationships/hyperlink" Target="https://en.wikipedia.org/wiki/Aristippus" TargetMode="External"/><Relationship Id="rId25" Type="http://schemas.openxmlformats.org/officeDocument/2006/relationships/hyperlink" Target="https://en.wikipedia.org/wiki/Leucippu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Religious_skepticism" TargetMode="External"/><Relationship Id="rId20" Type="http://schemas.openxmlformats.org/officeDocument/2006/relationships/hyperlink" Target="https://en.wikipedia.org/wiki/Hedonism" TargetMode="External"/><Relationship Id="rId29" Type="http://schemas.openxmlformats.org/officeDocument/2006/relationships/hyperlink" Target="https://en.wikipedia.org/wiki/Deis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Philosophy" TargetMode="External"/><Relationship Id="rId24" Type="http://schemas.openxmlformats.org/officeDocument/2006/relationships/hyperlink" Target="https://en.wikipedia.org/wiki/Democritu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Democritus" TargetMode="External"/><Relationship Id="rId23" Type="http://schemas.openxmlformats.org/officeDocument/2006/relationships/hyperlink" Target="https://en.wikipedia.org/wiki/Atomist" TargetMode="External"/><Relationship Id="rId28" Type="http://schemas.openxmlformats.org/officeDocument/2006/relationships/hyperlink" Target="https://en.wikipedia.org/wiki/Metakosmia" TargetMode="External"/><Relationship Id="rId10" Type="http://schemas.microsoft.com/office/2007/relationships/hdphoto" Target="media/hdphoto1.wdp"/><Relationship Id="rId19" Type="http://schemas.openxmlformats.org/officeDocument/2006/relationships/hyperlink" Target="https://en.wikipedia.org/wiki/Aponia"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Materialism" TargetMode="External"/><Relationship Id="rId22" Type="http://schemas.openxmlformats.org/officeDocument/2006/relationships/hyperlink" Target="https://en.wikipedia.org/wiki/Atom" TargetMode="External"/><Relationship Id="rId27" Type="http://schemas.openxmlformats.org/officeDocument/2006/relationships/hyperlink" Target="https://en.wikipedia.org/wiki/Epicureanism" TargetMode="External"/><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1752</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Schiffman</dc:creator>
  <cp:lastModifiedBy>Marks</cp:lastModifiedBy>
  <cp:revision>2</cp:revision>
  <dcterms:created xsi:type="dcterms:W3CDTF">2018-02-04T13:43:00Z</dcterms:created>
  <dcterms:modified xsi:type="dcterms:W3CDTF">2018-02-04T13:43:00Z</dcterms:modified>
</cp:coreProperties>
</file>