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מגן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אבות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הגאון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קלוגר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2674234" cy="36433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4234" cy="3643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2709863" cy="874497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874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שלחן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ערוך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הרב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הל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נזקי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גוף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סעיף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להכותו</w:t>
      </w: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משתה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דרש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אמור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יקרב</w:t>
      </w:r>
      <w:r w:rsidDel="00000000" w:rsidR="00000000" w:rsidRPr="00000000">
        <w:rPr>
          <w:b w:val="1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2367643" cy="19050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7643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2443163" cy="162302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1623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פסחים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</w:p>
    <w:p w:rsidR="00000000" w:rsidDel="00000000" w:rsidP="00000000" w:rsidRDefault="00000000" w:rsidRPr="00000000" w14:paraId="0000000F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  <w:sectPr>
          <w:pgSz w:h="15840" w:w="12240" w:orient="portrait"/>
          <w:pgMar w:bottom="1440" w:top="1440" w:left="1440" w:right="1440" w:header="720" w:footer="720"/>
          <w:pgNumType w:start="1"/>
          <w:cols w:equalWidth="0" w:num="2">
            <w:col w:space="720" w:w="4320"/>
            <w:col w:space="0" w:w="4320"/>
          </w:cols>
          <w:bidi w:val="1"/>
        </w:sectPr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said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When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”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Adam</w:t>
      </w:r>
      <w:r w:rsidDel="00000000" w:rsidR="00000000" w:rsidRPr="00000000">
        <w:rPr>
          <w:rtl w:val="0"/>
        </w:rPr>
        <w:t xml:space="preserve">: “</w:t>
      </w:r>
      <w:r w:rsidDel="00000000" w:rsidR="00000000" w:rsidRPr="00000000">
        <w:rPr>
          <w:rtl w:val="0"/>
        </w:rPr>
        <w:t xml:space="preserve">Thorns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also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thistles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herb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field</w:t>
      </w:r>
      <w:r w:rsidDel="00000000" w:rsidR="00000000" w:rsidRPr="00000000">
        <w:rPr>
          <w:rtl w:val="0"/>
        </w:rPr>
        <w:t xml:space="preserve">” (</w:t>
      </w:r>
      <w:r w:rsidDel="00000000" w:rsidR="00000000" w:rsidRPr="00000000">
        <w:rPr>
          <w:rtl w:val="0"/>
        </w:rPr>
        <w:t xml:space="preserve">Genesis</w:t>
      </w:r>
      <w:r w:rsidDel="00000000" w:rsidR="00000000" w:rsidRPr="00000000">
        <w:rPr>
          <w:rtl w:val="0"/>
        </w:rPr>
        <w:t xml:space="preserve"> 3:18), </w:t>
      </w:r>
      <w:r w:rsidDel="00000000" w:rsidR="00000000" w:rsidRPr="00000000">
        <w:rPr>
          <w:rtl w:val="0"/>
        </w:rPr>
        <w:t xml:space="preserve">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eyes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streamed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tears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Adam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before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Him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1"/>
        </w:rPr>
        <w:t xml:space="preserve">רבונו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donkey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trough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After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him</w:t>
      </w:r>
      <w:r w:rsidDel="00000000" w:rsidR="00000000" w:rsidRPr="00000000">
        <w:rPr>
          <w:rtl w:val="0"/>
        </w:rPr>
        <w:t xml:space="preserve">: “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sweat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bread</w:t>
      </w:r>
      <w:r w:rsidDel="00000000" w:rsidR="00000000" w:rsidRPr="00000000">
        <w:rPr>
          <w:rtl w:val="0"/>
        </w:rPr>
        <w:t xml:space="preserve">” (</w:t>
      </w:r>
      <w:r w:rsidDel="00000000" w:rsidR="00000000" w:rsidRPr="00000000">
        <w:rPr>
          <w:rtl w:val="0"/>
        </w:rPr>
        <w:t xml:space="preserve">Genesis</w:t>
      </w:r>
      <w:r w:rsidDel="00000000" w:rsidR="00000000" w:rsidRPr="00000000">
        <w:rPr>
          <w:rtl w:val="0"/>
        </w:rPr>
        <w:t xml:space="preserve"> 3:19), </w:t>
      </w:r>
      <w:r w:rsidDel="00000000" w:rsidR="00000000" w:rsidRPr="00000000">
        <w:rPr>
          <w:rtl w:val="0"/>
        </w:rPr>
        <w:t xml:space="preserve">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settled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assured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toils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bread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unlike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donkey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חידושי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בראשית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b w:val="1"/>
          <w:rtl w:val="1"/>
        </w:rPr>
        <w:t xml:space="preserve">יח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4510088" cy="2977814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2977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נתיבות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קונטרס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בחכמה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בית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4586288" cy="2212296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795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6288" cy="22122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4548188" cy="1545218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48188" cy="15452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7.png"/><Relationship Id="rId12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