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680B" w14:textId="77777777" w:rsidR="00321D6A" w:rsidRPr="006B11D2" w:rsidRDefault="00F10F8C">
      <w:pPr>
        <w:rPr>
          <w:sz w:val="28"/>
          <w:szCs w:val="28"/>
          <w:rtl/>
        </w:rPr>
      </w:pPr>
      <w:r w:rsidRPr="006B11D2">
        <w:rPr>
          <w:rFonts w:hint="cs"/>
          <w:sz w:val="28"/>
          <w:szCs w:val="28"/>
          <w:rtl/>
        </w:rPr>
        <w:t xml:space="preserve">בענין רשות לשניהם </w:t>
      </w:r>
    </w:p>
    <w:p w14:paraId="761D4968" w14:textId="77777777" w:rsidR="00F10F8C" w:rsidRPr="006B11D2" w:rsidRDefault="00F10F8C" w:rsidP="00F10F8C">
      <w:pPr>
        <w:pStyle w:val="ListParagraph"/>
        <w:numPr>
          <w:ilvl w:val="0"/>
          <w:numId w:val="1"/>
        </w:numPr>
        <w:rPr>
          <w:sz w:val="28"/>
          <w:szCs w:val="28"/>
        </w:rPr>
      </w:pPr>
      <w:r w:rsidRPr="006B11D2">
        <w:rPr>
          <w:rFonts w:hint="cs"/>
          <w:sz w:val="28"/>
          <w:szCs w:val="28"/>
          <w:rtl/>
        </w:rPr>
        <w:t xml:space="preserve">משנה ( ט: ) ובכל מקום ...סוף המשנה </w:t>
      </w:r>
    </w:p>
    <w:p w14:paraId="5C960BB2" w14:textId="77777777" w:rsidR="00F10F8C" w:rsidRPr="006B11D2" w:rsidRDefault="00F10F8C" w:rsidP="00F10F8C">
      <w:pPr>
        <w:pStyle w:val="ListParagraph"/>
        <w:numPr>
          <w:ilvl w:val="0"/>
          <w:numId w:val="1"/>
        </w:numPr>
        <w:rPr>
          <w:sz w:val="28"/>
          <w:szCs w:val="28"/>
        </w:rPr>
      </w:pPr>
      <w:r w:rsidRPr="006B11D2">
        <w:rPr>
          <w:rFonts w:hint="cs"/>
          <w:sz w:val="28"/>
          <w:szCs w:val="28"/>
          <w:rtl/>
        </w:rPr>
        <w:t xml:space="preserve">גמ' שם ( יג: ) חוץ מרשות במיוחדת ...המזיק לאתוי קרן </w:t>
      </w:r>
    </w:p>
    <w:p w14:paraId="034BA1AE" w14:textId="77777777" w:rsidR="00F10F8C" w:rsidRDefault="00F10F8C" w:rsidP="00F10F8C">
      <w:pPr>
        <w:pStyle w:val="ListParagraph"/>
        <w:rPr>
          <w:sz w:val="28"/>
          <w:szCs w:val="28"/>
          <w:rtl/>
        </w:rPr>
      </w:pPr>
      <w:r w:rsidRPr="006B11D2">
        <w:rPr>
          <w:rFonts w:hint="cs"/>
          <w:sz w:val="28"/>
          <w:szCs w:val="28"/>
          <w:rtl/>
        </w:rPr>
        <w:t xml:space="preserve">שם ( יד.) איני והא תני ר' יוסף ...דאביי פליגי </w:t>
      </w:r>
    </w:p>
    <w:p w14:paraId="50AF8E38" w14:textId="77777777" w:rsidR="00F47A6F" w:rsidRPr="006B11D2" w:rsidRDefault="00F47A6F" w:rsidP="00F10F8C">
      <w:pPr>
        <w:pStyle w:val="ListParagraph"/>
        <w:rPr>
          <w:sz w:val="28"/>
          <w:szCs w:val="28"/>
        </w:rPr>
      </w:pPr>
    </w:p>
    <w:p w14:paraId="6EC30464" w14:textId="77777777" w:rsidR="006B11D2" w:rsidRPr="006B11D2" w:rsidRDefault="006B11D2" w:rsidP="006B11D2">
      <w:pPr>
        <w:pStyle w:val="ListParagraph"/>
        <w:numPr>
          <w:ilvl w:val="0"/>
          <w:numId w:val="1"/>
        </w:numPr>
        <w:rPr>
          <w:sz w:val="28"/>
          <w:szCs w:val="28"/>
        </w:rPr>
      </w:pPr>
      <w:r w:rsidRPr="006B11D2">
        <w:rPr>
          <w:rFonts w:hint="cs"/>
          <w:sz w:val="28"/>
          <w:szCs w:val="28"/>
          <w:rtl/>
        </w:rPr>
        <w:t xml:space="preserve">מה הדין בחצר שאינה של שניהם </w:t>
      </w:r>
      <w:r w:rsidRPr="006B11D2">
        <w:rPr>
          <w:sz w:val="28"/>
          <w:szCs w:val="28"/>
          <w:rtl/>
        </w:rPr>
        <w:t>–</w:t>
      </w:r>
      <w:r w:rsidRPr="006B11D2">
        <w:rPr>
          <w:rFonts w:hint="cs"/>
          <w:sz w:val="28"/>
          <w:szCs w:val="28"/>
          <w:rtl/>
        </w:rPr>
        <w:t xml:space="preserve"> עיין ירושלמי א:ב </w:t>
      </w:r>
    </w:p>
    <w:p w14:paraId="4A8C7374" w14:textId="77777777" w:rsidR="006B11D2" w:rsidRPr="006B11D2" w:rsidRDefault="006B11D2" w:rsidP="006B11D2">
      <w:pPr>
        <w:pStyle w:val="ListParagraph"/>
        <w:rPr>
          <w:b/>
          <w:bCs/>
          <w:sz w:val="28"/>
          <w:szCs w:val="28"/>
          <w:u w:val="single"/>
          <w:rtl/>
        </w:rPr>
      </w:pPr>
      <w:r w:rsidRPr="006B11D2">
        <w:rPr>
          <w:b/>
          <w:bCs/>
          <w:sz w:val="28"/>
          <w:szCs w:val="28"/>
          <w:u w:val="single"/>
          <w:rtl/>
        </w:rPr>
        <w:t>תלמוד ירושלמי (וילנא) מסכת בבא קמא פרק א הלכה ב</w:t>
      </w:r>
    </w:p>
    <w:p w14:paraId="0935FE30" w14:textId="77777777" w:rsidR="006B11D2" w:rsidRPr="006B11D2" w:rsidRDefault="006B11D2" w:rsidP="006B11D2">
      <w:pPr>
        <w:pStyle w:val="ListParagraph"/>
        <w:rPr>
          <w:sz w:val="28"/>
          <w:szCs w:val="28"/>
          <w:rtl/>
        </w:rPr>
      </w:pPr>
      <w:r w:rsidRPr="006B11D2">
        <w:rPr>
          <w:sz w:val="28"/>
          <w:szCs w:val="28"/>
          <w:rtl/>
        </w:rPr>
        <w:t>אית תניי תני חצר של שותפין חייבת וחצר שאינה לשניהן פטורה. אית תניי תני אפי' חצר שאינה לשניהם חייבת. מאן דמר חצר של שותפין חייבת וחצר שאינה לשניהן פטורה [דף ו עמוד א] דכתיב מיטב שדהו. ומאן דמר אפילו חצר שאינה לשניהן חייבת דכתיב [שמות כב ד] ובער בשדה אחר מכל מקום.</w:t>
      </w:r>
    </w:p>
    <w:p w14:paraId="4C75554D" w14:textId="25209A0F" w:rsidR="006B11D2" w:rsidRPr="006B11D2" w:rsidRDefault="006B11D2" w:rsidP="006B11D2">
      <w:pPr>
        <w:pStyle w:val="ListParagraph"/>
        <w:rPr>
          <w:sz w:val="28"/>
          <w:szCs w:val="28"/>
          <w:rtl/>
        </w:rPr>
      </w:pPr>
    </w:p>
    <w:p w14:paraId="001AB9F3" w14:textId="5F5FC61F" w:rsidR="006B11D2" w:rsidRPr="006B11D2" w:rsidRDefault="006B11D2" w:rsidP="006B11D2">
      <w:pPr>
        <w:pStyle w:val="ListParagraph"/>
        <w:rPr>
          <w:sz w:val="28"/>
          <w:szCs w:val="28"/>
          <w:rtl/>
        </w:rPr>
      </w:pPr>
      <w:r w:rsidRPr="006B11D2">
        <w:rPr>
          <w:rFonts w:hint="cs"/>
          <w:sz w:val="28"/>
          <w:szCs w:val="28"/>
          <w:rtl/>
        </w:rPr>
        <w:t xml:space="preserve">עיין רשב"א ד"ה </w:t>
      </w:r>
      <w:r w:rsidR="00F47A6F">
        <w:rPr>
          <w:rFonts w:hint="cs"/>
          <w:sz w:val="28"/>
          <w:szCs w:val="28"/>
          <w:rtl/>
        </w:rPr>
        <w:t xml:space="preserve">והאי, (מח.) ד"ה הוה ליה </w:t>
      </w:r>
    </w:p>
    <w:p w14:paraId="5DC4B4F1" w14:textId="364B0929" w:rsidR="006B11D2" w:rsidRPr="006B11D2" w:rsidRDefault="006B11D2" w:rsidP="006B11D2">
      <w:pPr>
        <w:pStyle w:val="ListParagraph"/>
        <w:rPr>
          <w:sz w:val="28"/>
          <w:szCs w:val="28"/>
          <w:rtl/>
        </w:rPr>
      </w:pPr>
      <w:r w:rsidRPr="006B11D2">
        <w:rPr>
          <w:rFonts w:hint="cs"/>
          <w:sz w:val="28"/>
          <w:szCs w:val="28"/>
          <w:rtl/>
        </w:rPr>
        <w:t xml:space="preserve">רש"י ( מח.) ד"ה הויא </w:t>
      </w:r>
    </w:p>
    <w:p w14:paraId="078646EA" w14:textId="77777777" w:rsidR="00F10F8C" w:rsidRPr="006B11D2" w:rsidRDefault="00F10F8C" w:rsidP="00F10F8C">
      <w:pPr>
        <w:pStyle w:val="ListParagraph"/>
        <w:rPr>
          <w:sz w:val="28"/>
          <w:szCs w:val="28"/>
          <w:rtl/>
        </w:rPr>
      </w:pPr>
    </w:p>
    <w:p w14:paraId="7F1E4C7F" w14:textId="77777777" w:rsidR="006B11D2" w:rsidRPr="006B11D2" w:rsidRDefault="006B11D2" w:rsidP="006B11D2">
      <w:pPr>
        <w:pStyle w:val="ListParagraph"/>
        <w:numPr>
          <w:ilvl w:val="0"/>
          <w:numId w:val="1"/>
        </w:numPr>
        <w:rPr>
          <w:sz w:val="28"/>
          <w:szCs w:val="28"/>
        </w:rPr>
      </w:pPr>
      <w:r w:rsidRPr="006B11D2">
        <w:rPr>
          <w:rFonts w:hint="cs"/>
          <w:sz w:val="28"/>
          <w:szCs w:val="28"/>
          <w:rtl/>
        </w:rPr>
        <w:t xml:space="preserve">מחלוקת ר"ת ורש"י ברשות מיוחדת לשוורים ולפירות דחד </w:t>
      </w:r>
    </w:p>
    <w:p w14:paraId="48699774" w14:textId="68FA46F0" w:rsidR="006B11D2" w:rsidRPr="006B11D2" w:rsidRDefault="006B11D2" w:rsidP="006B11D2">
      <w:pPr>
        <w:pStyle w:val="ListParagraph"/>
        <w:rPr>
          <w:sz w:val="28"/>
          <w:szCs w:val="28"/>
        </w:rPr>
      </w:pPr>
      <w:r w:rsidRPr="006B11D2">
        <w:rPr>
          <w:rFonts w:hint="cs"/>
          <w:sz w:val="28"/>
          <w:szCs w:val="28"/>
          <w:rtl/>
        </w:rPr>
        <w:t xml:space="preserve">עיין תוס' ד"ה לא לזה ( יד.) מה הגירסא של הר"ת </w:t>
      </w:r>
    </w:p>
    <w:p w14:paraId="15E40599" w14:textId="77777777" w:rsidR="006B11D2" w:rsidRPr="006B11D2" w:rsidRDefault="006B11D2" w:rsidP="006B11D2">
      <w:pPr>
        <w:rPr>
          <w:sz w:val="28"/>
          <w:szCs w:val="28"/>
          <w:rtl/>
        </w:rPr>
      </w:pPr>
      <w:r w:rsidRPr="006B11D2">
        <w:rPr>
          <w:rFonts w:hint="cs"/>
          <w:sz w:val="28"/>
          <w:szCs w:val="28"/>
          <w:rtl/>
        </w:rPr>
        <w:t xml:space="preserve">לפי רש"י מה הדין בחצר מיחודת לשניהם לשוורים ולאחד לפירות </w:t>
      </w:r>
    </w:p>
    <w:p w14:paraId="67B78ADB" w14:textId="77777777" w:rsidR="006B11D2" w:rsidRPr="006B11D2" w:rsidRDefault="006B11D2" w:rsidP="006B11D2">
      <w:pPr>
        <w:rPr>
          <w:sz w:val="28"/>
          <w:szCs w:val="28"/>
          <w:rtl/>
        </w:rPr>
      </w:pPr>
      <w:r w:rsidRPr="006B11D2">
        <w:rPr>
          <w:rFonts w:hint="cs"/>
          <w:sz w:val="28"/>
          <w:szCs w:val="28"/>
          <w:rtl/>
        </w:rPr>
        <w:t xml:space="preserve">לפי ר"ת מה הדין </w:t>
      </w:r>
    </w:p>
    <w:p w14:paraId="297724C4" w14:textId="21B6E706" w:rsidR="006B11D2" w:rsidRPr="006B11D2" w:rsidRDefault="006B11D2" w:rsidP="006B11D2">
      <w:pPr>
        <w:rPr>
          <w:sz w:val="28"/>
          <w:szCs w:val="28"/>
          <w:rtl/>
        </w:rPr>
      </w:pPr>
      <w:r w:rsidRPr="006B11D2">
        <w:rPr>
          <w:rFonts w:hint="cs"/>
          <w:sz w:val="28"/>
          <w:szCs w:val="28"/>
          <w:rtl/>
        </w:rPr>
        <w:t xml:space="preserve">רמב"ם נזקי ממון א:ז-ט- האם הרמב"ם גרס כמו ש"י או כמו ר"ת </w:t>
      </w:r>
    </w:p>
    <w:p w14:paraId="05B2CC49" w14:textId="32061D73" w:rsidR="006B11D2" w:rsidRPr="006B11D2" w:rsidRDefault="006B11D2" w:rsidP="006B11D2">
      <w:pPr>
        <w:rPr>
          <w:sz w:val="28"/>
          <w:szCs w:val="28"/>
          <w:rtl/>
        </w:rPr>
      </w:pPr>
      <w:r w:rsidRPr="006B11D2">
        <w:rPr>
          <w:rFonts w:hint="cs"/>
          <w:sz w:val="28"/>
          <w:szCs w:val="28"/>
          <w:rtl/>
        </w:rPr>
        <w:t xml:space="preserve">הבנת הדין של רש"י </w:t>
      </w:r>
    </w:p>
    <w:p w14:paraId="56E4E1E9" w14:textId="29EDCDBB" w:rsidR="006B11D2" w:rsidRPr="006B11D2" w:rsidRDefault="006B11D2" w:rsidP="006B11D2">
      <w:pPr>
        <w:rPr>
          <w:sz w:val="28"/>
          <w:szCs w:val="28"/>
        </w:rPr>
      </w:pPr>
      <w:r w:rsidRPr="006B11D2">
        <w:rPr>
          <w:rFonts w:hint="cs"/>
          <w:sz w:val="28"/>
          <w:szCs w:val="28"/>
          <w:rtl/>
        </w:rPr>
        <w:t xml:space="preserve">נימוקי  יוסף (ה:) בדפי אילפס ד"ה לפירות אלא לחד </w:t>
      </w:r>
    </w:p>
    <w:p w14:paraId="0756F051" w14:textId="3BCD8C9D" w:rsidR="006B11D2" w:rsidRPr="006B11D2" w:rsidRDefault="006B11D2" w:rsidP="006B11D2">
      <w:pPr>
        <w:pStyle w:val="ListParagraph"/>
        <w:rPr>
          <w:sz w:val="28"/>
          <w:szCs w:val="28"/>
          <w:rtl/>
        </w:rPr>
      </w:pPr>
      <w:r w:rsidRPr="006B11D2">
        <w:rPr>
          <w:rFonts w:hint="cs"/>
          <w:sz w:val="28"/>
          <w:szCs w:val="28"/>
          <w:rtl/>
        </w:rPr>
        <w:t xml:space="preserve">עיין רא"ש סימן י"ז ושמעינן  מינה... משינויא דרבינא ...לפירות , הגהות האשרי שם </w:t>
      </w:r>
    </w:p>
    <w:p w14:paraId="25FDA2FB" w14:textId="77777777" w:rsidR="006B11D2" w:rsidRPr="006B11D2" w:rsidRDefault="006B11D2" w:rsidP="006B11D2">
      <w:pPr>
        <w:pStyle w:val="ListParagraph"/>
        <w:rPr>
          <w:sz w:val="28"/>
          <w:szCs w:val="28"/>
          <w:rtl/>
        </w:rPr>
      </w:pPr>
      <w:r w:rsidRPr="006B11D2">
        <w:rPr>
          <w:rFonts w:hint="cs"/>
          <w:sz w:val="28"/>
          <w:szCs w:val="28"/>
          <w:rtl/>
        </w:rPr>
        <w:t>יש"ש  סימן לו</w:t>
      </w:r>
    </w:p>
    <w:p w14:paraId="4226F25C" w14:textId="77777777" w:rsidR="006B11D2" w:rsidRPr="006B11D2" w:rsidRDefault="006B11D2" w:rsidP="006B11D2">
      <w:pPr>
        <w:pStyle w:val="ListParagraph"/>
        <w:rPr>
          <w:sz w:val="28"/>
          <w:szCs w:val="28"/>
        </w:rPr>
      </w:pPr>
    </w:p>
    <w:p w14:paraId="545C825A" w14:textId="3826ADC6" w:rsidR="00F10F8C" w:rsidRPr="006B11D2" w:rsidRDefault="002A4578" w:rsidP="002A4578">
      <w:pPr>
        <w:pStyle w:val="ListParagraph"/>
        <w:numPr>
          <w:ilvl w:val="0"/>
          <w:numId w:val="1"/>
        </w:numPr>
        <w:rPr>
          <w:sz w:val="28"/>
          <w:szCs w:val="28"/>
        </w:rPr>
      </w:pPr>
      <w:r w:rsidRPr="006B11D2">
        <w:rPr>
          <w:rFonts w:hint="cs"/>
          <w:sz w:val="28"/>
          <w:szCs w:val="28"/>
          <w:rtl/>
        </w:rPr>
        <w:t xml:space="preserve">מה הדין בחצר מיוחדת לשוורים ולא לפירות </w:t>
      </w:r>
    </w:p>
    <w:p w14:paraId="7C01A30A" w14:textId="1019811A" w:rsidR="002A4578" w:rsidRDefault="002A4578" w:rsidP="002A4578">
      <w:pPr>
        <w:pStyle w:val="ListParagraph"/>
        <w:rPr>
          <w:sz w:val="28"/>
          <w:szCs w:val="28"/>
          <w:rtl/>
        </w:rPr>
      </w:pPr>
      <w:r w:rsidRPr="006B11D2">
        <w:rPr>
          <w:rFonts w:hint="cs"/>
          <w:sz w:val="28"/>
          <w:szCs w:val="28"/>
          <w:rtl/>
        </w:rPr>
        <w:t xml:space="preserve">עיין שטמ"ק ( יד.) בשם מהר"י כהן צדק ד"ה וההיא </w:t>
      </w:r>
      <w:r w:rsidR="00F47A6F">
        <w:rPr>
          <w:rFonts w:hint="cs"/>
          <w:sz w:val="28"/>
          <w:szCs w:val="28"/>
          <w:rtl/>
        </w:rPr>
        <w:t xml:space="preserve">, ראב"ד ד"ה אמר לך </w:t>
      </w:r>
    </w:p>
    <w:p w14:paraId="5DA5CD96" w14:textId="77777777" w:rsidR="00F47A6F" w:rsidRDefault="00F47A6F" w:rsidP="002A4578">
      <w:pPr>
        <w:pStyle w:val="ListParagraph"/>
        <w:rPr>
          <w:sz w:val="28"/>
          <w:szCs w:val="28"/>
          <w:rtl/>
        </w:rPr>
      </w:pPr>
    </w:p>
    <w:p w14:paraId="19B4331F" w14:textId="412F29A7" w:rsidR="00F47A6F" w:rsidRDefault="00F47A6F" w:rsidP="00F47A6F">
      <w:pPr>
        <w:pStyle w:val="ListParagraph"/>
        <w:numPr>
          <w:ilvl w:val="0"/>
          <w:numId w:val="1"/>
        </w:numPr>
        <w:rPr>
          <w:sz w:val="28"/>
          <w:szCs w:val="28"/>
        </w:rPr>
      </w:pPr>
      <w:r>
        <w:rPr>
          <w:rFonts w:hint="cs"/>
          <w:sz w:val="28"/>
          <w:szCs w:val="28"/>
          <w:rtl/>
        </w:rPr>
        <w:t xml:space="preserve">מה ההבדל בין צידי רחבה לחצר מיוחד לשניהם לפירות ולא לזה ולא לזה לשוורים לפי ר' זירא דפטור </w:t>
      </w:r>
    </w:p>
    <w:p w14:paraId="2CF34376" w14:textId="5492F30C" w:rsidR="00F47A6F" w:rsidRDefault="00F47A6F" w:rsidP="00F47A6F">
      <w:pPr>
        <w:pStyle w:val="ListParagraph"/>
        <w:rPr>
          <w:sz w:val="28"/>
          <w:szCs w:val="28"/>
          <w:rtl/>
        </w:rPr>
      </w:pPr>
      <w:r>
        <w:rPr>
          <w:rFonts w:hint="cs"/>
          <w:sz w:val="28"/>
          <w:szCs w:val="28"/>
          <w:rtl/>
        </w:rPr>
        <w:t xml:space="preserve">עיין ראב"ד ד"ה מתקיף </w:t>
      </w:r>
    </w:p>
    <w:p w14:paraId="5A039287" w14:textId="77777777" w:rsidR="00596250" w:rsidRDefault="00596250" w:rsidP="00F47A6F">
      <w:pPr>
        <w:pStyle w:val="ListParagraph"/>
        <w:rPr>
          <w:sz w:val="28"/>
          <w:szCs w:val="28"/>
          <w:rtl/>
        </w:rPr>
      </w:pPr>
    </w:p>
    <w:p w14:paraId="1FED314E" w14:textId="35B9B121" w:rsidR="00596250" w:rsidRDefault="00596250" w:rsidP="00596250">
      <w:pPr>
        <w:pStyle w:val="ListParagraph"/>
        <w:numPr>
          <w:ilvl w:val="0"/>
          <w:numId w:val="1"/>
        </w:numPr>
        <w:rPr>
          <w:sz w:val="28"/>
          <w:szCs w:val="28"/>
        </w:rPr>
      </w:pPr>
      <w:r>
        <w:rPr>
          <w:rFonts w:hint="cs"/>
          <w:sz w:val="28"/>
          <w:szCs w:val="28"/>
          <w:rtl/>
        </w:rPr>
        <w:t>עיין ב"ק (מז.) משנה, גמ' שם (</w:t>
      </w:r>
      <w:r>
        <w:rPr>
          <w:rFonts w:hint="cs"/>
          <w:sz w:val="28"/>
          <w:szCs w:val="28"/>
        </w:rPr>
        <w:t xml:space="preserve"> </w:t>
      </w:r>
      <w:r>
        <w:rPr>
          <w:rFonts w:hint="cs"/>
          <w:sz w:val="28"/>
          <w:szCs w:val="28"/>
          <w:rtl/>
        </w:rPr>
        <w:t>מז: ) איבעיא להו ...</w:t>
      </w:r>
      <w:r w:rsidR="00C71813">
        <w:rPr>
          <w:rFonts w:hint="cs"/>
          <w:sz w:val="28"/>
          <w:szCs w:val="28"/>
          <w:rtl/>
        </w:rPr>
        <w:t xml:space="preserve">ברשות הרבים פטורה </w:t>
      </w:r>
    </w:p>
    <w:p w14:paraId="6935DA95" w14:textId="407D57D2" w:rsidR="00C71813" w:rsidRDefault="00C71813" w:rsidP="00C71813">
      <w:pPr>
        <w:pStyle w:val="ListParagraph"/>
        <w:rPr>
          <w:sz w:val="28"/>
          <w:szCs w:val="28"/>
          <w:rtl/>
        </w:rPr>
      </w:pPr>
      <w:r>
        <w:rPr>
          <w:rFonts w:hint="cs"/>
          <w:sz w:val="28"/>
          <w:szCs w:val="28"/>
          <w:rtl/>
        </w:rPr>
        <w:t xml:space="preserve">רש"י ד"ה הויא , </w:t>
      </w:r>
    </w:p>
    <w:p w14:paraId="3E9E3609" w14:textId="77777777" w:rsidR="00C71813" w:rsidRDefault="00C71813" w:rsidP="00C71813">
      <w:pPr>
        <w:pStyle w:val="ListParagraph"/>
        <w:rPr>
          <w:sz w:val="28"/>
          <w:szCs w:val="28"/>
          <w:rtl/>
        </w:rPr>
      </w:pPr>
    </w:p>
    <w:p w14:paraId="71669EA3" w14:textId="77777777" w:rsidR="00C71813" w:rsidRDefault="00C71813" w:rsidP="00C71813">
      <w:pPr>
        <w:pStyle w:val="ListParagraph"/>
        <w:rPr>
          <w:sz w:val="28"/>
          <w:szCs w:val="28"/>
          <w:rtl/>
        </w:rPr>
      </w:pPr>
      <w:r>
        <w:rPr>
          <w:rFonts w:hint="cs"/>
          <w:sz w:val="28"/>
          <w:szCs w:val="28"/>
          <w:rtl/>
        </w:rPr>
        <w:t xml:space="preserve">בענין שיטת רש"י </w:t>
      </w:r>
    </w:p>
    <w:p w14:paraId="3F5FEF0A" w14:textId="77777777" w:rsidR="00C71813" w:rsidRDefault="00C71813" w:rsidP="00C71813">
      <w:pPr>
        <w:pStyle w:val="ListParagraph"/>
        <w:rPr>
          <w:sz w:val="28"/>
          <w:szCs w:val="28"/>
          <w:rtl/>
        </w:rPr>
      </w:pPr>
      <w:r>
        <w:rPr>
          <w:rFonts w:hint="cs"/>
          <w:sz w:val="28"/>
          <w:szCs w:val="28"/>
          <w:rtl/>
        </w:rPr>
        <w:t>ב"ב (פה.)</w:t>
      </w:r>
      <w:r>
        <w:rPr>
          <w:rFonts w:hint="cs"/>
          <w:sz w:val="28"/>
          <w:szCs w:val="28"/>
        </w:rPr>
        <w:t xml:space="preserve"> </w:t>
      </w:r>
      <w:r>
        <w:rPr>
          <w:rFonts w:hint="cs"/>
          <w:sz w:val="28"/>
          <w:szCs w:val="28"/>
          <w:rtl/>
        </w:rPr>
        <w:t xml:space="preserve">ת"ש ארבע מידות </w:t>
      </w:r>
    </w:p>
    <w:p w14:paraId="252F4350" w14:textId="56D99A26" w:rsidR="00C71813" w:rsidRDefault="00C71813" w:rsidP="00C71813">
      <w:pPr>
        <w:pStyle w:val="ListParagraph"/>
        <w:rPr>
          <w:sz w:val="28"/>
          <w:szCs w:val="28"/>
          <w:rtl/>
        </w:rPr>
      </w:pPr>
      <w:r>
        <w:rPr>
          <w:rFonts w:hint="cs"/>
          <w:sz w:val="28"/>
          <w:szCs w:val="28"/>
          <w:rtl/>
        </w:rPr>
        <w:t xml:space="preserve">רשב"ם  שם ד"ה  המופקדין </w:t>
      </w:r>
    </w:p>
    <w:p w14:paraId="322E3260" w14:textId="77777777" w:rsidR="00C71813" w:rsidRPr="00C71813" w:rsidRDefault="00C71813" w:rsidP="00C71813">
      <w:pPr>
        <w:pStyle w:val="ListParagraph"/>
        <w:rPr>
          <w:sz w:val="28"/>
          <w:szCs w:val="28"/>
          <w:rtl/>
        </w:rPr>
      </w:pPr>
      <w:r w:rsidRPr="00C71813">
        <w:rPr>
          <w:sz w:val="28"/>
          <w:szCs w:val="28"/>
          <w:rtl/>
        </w:rPr>
        <w:t>שולחן ערוך חושן משפט הלכות מקח וממכר סימן קפט</w:t>
      </w:r>
    </w:p>
    <w:p w14:paraId="314F484B" w14:textId="77777777" w:rsidR="00C71813" w:rsidRPr="00C71813" w:rsidRDefault="00C71813" w:rsidP="00C71813">
      <w:pPr>
        <w:pStyle w:val="ListParagraph"/>
        <w:rPr>
          <w:sz w:val="28"/>
          <w:szCs w:val="28"/>
          <w:rtl/>
        </w:rPr>
      </w:pPr>
      <w:r w:rsidRPr="00C71813">
        <w:rPr>
          <w:sz w:val="28"/>
          <w:szCs w:val="28"/>
          <w:rtl/>
        </w:rPr>
        <w:t xml:space="preserve">דין אין המקח נגמר בדברים, ובו סעיף אחד. </w:t>
      </w:r>
    </w:p>
    <w:p w14:paraId="499540A9" w14:textId="77777777" w:rsidR="00C71813" w:rsidRPr="00C71813" w:rsidRDefault="00C71813" w:rsidP="00C71813">
      <w:pPr>
        <w:pStyle w:val="ListParagraph"/>
        <w:rPr>
          <w:sz w:val="28"/>
          <w:szCs w:val="28"/>
          <w:rtl/>
        </w:rPr>
      </w:pPr>
      <w:r w:rsidRPr="00C71813">
        <w:rPr>
          <w:sz w:val="28"/>
          <w:szCs w:val="28"/>
          <w:rtl/>
        </w:rPr>
        <w:t>סעיף א</w:t>
      </w:r>
    </w:p>
    <w:p w14:paraId="6E6EFBDA" w14:textId="7DDE5DF2" w:rsidR="00C71813" w:rsidRDefault="00C71813" w:rsidP="00C71813">
      <w:pPr>
        <w:pStyle w:val="ListParagraph"/>
        <w:rPr>
          <w:sz w:val="28"/>
          <w:szCs w:val="28"/>
          <w:rtl/>
        </w:rPr>
      </w:pPr>
      <w:r w:rsidRPr="00C71813">
        <w:rPr>
          <w:sz w:val="28"/>
          <w:szCs w:val="28"/>
          <w:rtl/>
        </w:rPr>
        <w:lastRenderedPageBreak/>
        <w:t>(א') א] [א] אין המקח נגמר בדברים; ב] שהאומר לחבירו: היאך אתה נותן לי חפץ זה, ואמר ליה: בכך וכך, ונתרצו שניהם ופסקו הדמים, יכולים לחזור שניהם, ג] אפילו היה הדבר בפני עדים ואמרו להם: הוו עלינו עדים שמכר זה ושלקח זה, הרי זה אינו כלום עד שיגמור המקח. כל דבר ודבר כראוי לו; קרקע לפי קניינו, ובעלי חיים לפי קנינם, ומטלטלים לפי קניינם. ולאחר שנגמר המקח, כל אחד לפי קניינו, ד] אין שום אחד מהם יכול לחזור בו, (ב') אפי' לא היו עדים בדבר. הגה: ואפי' ה] (א) מחל זה לזה אחר כך, לא מהני, {א} א) אלא צריכין לחזור א'} ולהקנות זה לזה (תה"ד סימן שי"א וריב"ש סימן תק"י).</w:t>
      </w:r>
    </w:p>
    <w:p w14:paraId="2BC53B70" w14:textId="77777777" w:rsidR="00C71813" w:rsidRDefault="00C71813" w:rsidP="00C71813">
      <w:pPr>
        <w:pStyle w:val="ListParagraph"/>
        <w:rPr>
          <w:sz w:val="28"/>
          <w:szCs w:val="28"/>
          <w:rtl/>
        </w:rPr>
      </w:pPr>
    </w:p>
    <w:p w14:paraId="6EC81D40" w14:textId="77777777" w:rsidR="00C71813" w:rsidRPr="00C71813" w:rsidRDefault="00C71813" w:rsidP="00C71813">
      <w:pPr>
        <w:pStyle w:val="ListParagraph"/>
        <w:rPr>
          <w:sz w:val="28"/>
          <w:szCs w:val="28"/>
          <w:rtl/>
        </w:rPr>
      </w:pPr>
      <w:r w:rsidRPr="00C71813">
        <w:rPr>
          <w:sz w:val="28"/>
          <w:szCs w:val="28"/>
          <w:rtl/>
        </w:rPr>
        <w:t>קצות החושן סימן קפט ס"ק א</w:t>
      </w:r>
    </w:p>
    <w:p w14:paraId="0E17003D" w14:textId="77777777" w:rsidR="00C71813" w:rsidRPr="00C71813" w:rsidRDefault="00C71813" w:rsidP="00C71813">
      <w:pPr>
        <w:pStyle w:val="ListParagraph"/>
        <w:rPr>
          <w:sz w:val="28"/>
          <w:szCs w:val="28"/>
          <w:rtl/>
        </w:rPr>
      </w:pPr>
      <w:r w:rsidRPr="00C71813">
        <w:rPr>
          <w:sz w:val="28"/>
          <w:szCs w:val="28"/>
          <w:rtl/>
        </w:rPr>
        <w:t>סעיף א</w:t>
      </w:r>
    </w:p>
    <w:p w14:paraId="5ABFD530" w14:textId="78E708EF" w:rsidR="00C71813" w:rsidRDefault="00C71813" w:rsidP="00C71813">
      <w:pPr>
        <w:pStyle w:val="ListParagraph"/>
        <w:numPr>
          <w:ilvl w:val="0"/>
          <w:numId w:val="3"/>
        </w:numPr>
        <w:rPr>
          <w:sz w:val="28"/>
          <w:szCs w:val="28"/>
          <w:rtl/>
        </w:rPr>
      </w:pPr>
      <w:r w:rsidRPr="00C71813">
        <w:rPr>
          <w:sz w:val="28"/>
          <w:szCs w:val="28"/>
          <w:rtl/>
        </w:rPr>
        <w:t>ואפילו מחלו זה לזה. כתב בטור (סעיף ב' ג') ז"ל, ואין המקח מתקיים לקונה כו', אבל אם היה לו פקדון בידו וכיון לקנות בסכום ידוע שאמר לו ליתן למפקיד לא קנה עכ"ל. והוא תמוה דכיון דחצירו קונה לו והוא ברשותו אמאי לא קנה. וראיתי בט"ז שכתב דכאן לא מהני רשותו, דהא כתב הרשב"ם פרק הספינה (ב"ב) דף פ"ה (ע"א ד"ה המופקדין) שרשות הנפקד שהחפץ מונח בו הוי רשות המפקיד עכ"ל.</w:t>
      </w:r>
    </w:p>
    <w:p w14:paraId="3E8228B1" w14:textId="77777777" w:rsidR="00C71813" w:rsidRPr="00C71813" w:rsidRDefault="00C71813" w:rsidP="00C71813">
      <w:pPr>
        <w:rPr>
          <w:sz w:val="28"/>
          <w:szCs w:val="28"/>
          <w:rtl/>
        </w:rPr>
      </w:pPr>
      <w:r w:rsidRPr="00C71813">
        <w:rPr>
          <w:sz w:val="28"/>
          <w:szCs w:val="28"/>
          <w:rtl/>
        </w:rPr>
        <w:t>מחנה אפרים הלכות שכירות סימן א</w:t>
      </w:r>
    </w:p>
    <w:p w14:paraId="41AF3091" w14:textId="225FD842" w:rsidR="00C71813" w:rsidRPr="00C71813" w:rsidRDefault="00C71813" w:rsidP="00C71813">
      <w:pPr>
        <w:rPr>
          <w:sz w:val="28"/>
          <w:szCs w:val="28"/>
          <w:rtl/>
        </w:rPr>
      </w:pPr>
      <w:r w:rsidRPr="00C71813">
        <w:rPr>
          <w:sz w:val="28"/>
          <w:szCs w:val="28"/>
          <w:rtl/>
        </w:rPr>
        <w:t>המשכיר בית לחברו וצבר כליו לתוכו הרי זה חזקה כ"כ הרב בעל העיטור והכי איתא בירושלמי וכן פסק הרמב"ם ז"ל. אבל קצת מהמפרשים כתבו דזה לא הוי אלא כאכילת פירות ואכילת פירות לא הויא חזקה. ועיין במהרי"ט ז"ל ח"א סי' ס"ה. ולע"ד עם שאיני כדאי מ"מ נראה לי עיקר כסברת הרמב"ם ז"ל דכל שנותן כליו לתוכה ה"ז חזקה מכמה מקומות דבפרק הפרה דף מ"ח פריך על הברייתא דתניא כנוס שורך ושומרו הזיק חייב הוזק פטור, הא גופא קשיא אמרת כנוס שורך ושומרו פטור טעמא דא"ל ושמרו הא סתמא חייב דבסתמ' מקבל עליה נטירותא אימא סיפא כנוס שורך ואני אשמרנו הוזק חייב טעמ' דא"ל ואני אשמרנו הא סתמא פטור דבסתמא לא מקבל עליה נטירותא כר', ומשני רב פפא כולה ר' היא וסבר לה כרבי טרפון דאמר קרן בחצר הניזק משלם נזק שלם הלכך אמ"ל שומרו לא אקני ליה מקום בחצר והויא ליה קרן בחצר הניזק, לא אמ"ל שומרו אקנויי אקני ליה מקום בחצר והוי חצר השותפין ע"כ. אלמא דבהכנסת הפרה לתוך חצר חברו קנה ליה מקומה</w:t>
      </w:r>
    </w:p>
    <w:sectPr w:rsidR="00C71813" w:rsidRPr="00C71813"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5A30"/>
    <w:multiLevelType w:val="hybridMultilevel"/>
    <w:tmpl w:val="7DB61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11B0A"/>
    <w:multiLevelType w:val="hybridMultilevel"/>
    <w:tmpl w:val="1AB64012"/>
    <w:lvl w:ilvl="0" w:tplc="0AD876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CC201C"/>
    <w:multiLevelType w:val="hybridMultilevel"/>
    <w:tmpl w:val="386CFECC"/>
    <w:lvl w:ilvl="0" w:tplc="116EE75C">
      <w:start w:val="4"/>
      <w:numFmt w:val="bullet"/>
      <w:lvlText w:val=""/>
      <w:lvlJc w:val="left"/>
      <w:pPr>
        <w:ind w:left="1080" w:hanging="360"/>
      </w:pPr>
      <w:rPr>
        <w:rFonts w:ascii="Wingdings" w:eastAsiaTheme="minorHAnsi" w:hAnsi="Wingdings"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8807562">
    <w:abstractNumId w:val="0"/>
  </w:num>
  <w:num w:numId="2" w16cid:durableId="602497163">
    <w:abstractNumId w:val="2"/>
  </w:num>
  <w:num w:numId="3" w16cid:durableId="1872065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8C"/>
    <w:rsid w:val="002A4578"/>
    <w:rsid w:val="00321D6A"/>
    <w:rsid w:val="005076E1"/>
    <w:rsid w:val="00596250"/>
    <w:rsid w:val="006B11D2"/>
    <w:rsid w:val="009028F4"/>
    <w:rsid w:val="00C71813"/>
    <w:rsid w:val="00F10F8C"/>
    <w:rsid w:val="00F47A6F"/>
    <w:rsid w:val="00F514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A785"/>
  <w15:chartTrackingRefBased/>
  <w15:docId w15:val="{07B55796-0D0E-4A11-8725-8FE82F53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36"/>
        <w:szCs w:val="36"/>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2</Pages>
  <Words>542</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5</cp:revision>
  <dcterms:created xsi:type="dcterms:W3CDTF">2018-01-27T22:37:00Z</dcterms:created>
  <dcterms:modified xsi:type="dcterms:W3CDTF">2023-12-31T19:20:00Z</dcterms:modified>
</cp:coreProperties>
</file>