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Overcharging in a sale is not allowed, from the passuk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004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לעמיתך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אחיו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טו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במספר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טז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תמעיט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ויראת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מאלהיך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אלהיכם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Questions-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 we evaluate the base value?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Didn’t the other guy agree to pay that price?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Isn’t profit the basic purpose of commerce? Does this mean we not believe in a free market? Does this actually prove that we completely believe in the market economy?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What’s the nature of the issur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F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בגזל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באונאה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צריכי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בגזל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כרחיה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באונאה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דמחיל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מתרתי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תיתי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מהנך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מדעת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דמדעתיה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באונאה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מהנך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בגזל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מהנך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דמאי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פרכת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חידוש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תוכיח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ומחיל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תוכיח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וחזר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גוזלו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גזל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לכובש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שכיר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רכז</w:t>
      </w:r>
    </w:p>
    <w:p w:rsidR="00000000" w:rsidDel="00000000" w:rsidP="00000000" w:rsidRDefault="00000000" w:rsidRPr="00000000" w14:paraId="00000013">
      <w:pPr>
        <w:bidi w:val="1"/>
        <w:spacing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תגזול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שהמאנה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9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דממעטינן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תמורה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באונאת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מטלטלים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ומרבינן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מוהשיב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הגזילה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להשבון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ובשלמא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יתבטל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המקבל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קט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ורכב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כרחך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הגזילה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מכירה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</w:p>
    <w:p w:rsidR="00000000" w:rsidDel="00000000" w:rsidP="00000000" w:rsidRDefault="00000000" w:rsidRPr="00000000" w14:paraId="0000001F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ואני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במטלטלים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בקרקעות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היובל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שיקנו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וימכרו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רבותינו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מחילה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במטלטלים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ממכרם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כזו</w:t>
      </w:r>
      <w:r w:rsidDel="00000000" w:rsidR="00000000" w:rsidRPr="00000000">
        <w:rPr>
          <w:sz w:val="24"/>
          <w:szCs w:val="24"/>
          <w:rtl w:val="1"/>
        </w:rPr>
        <w:t xml:space="preserve">:  </w:t>
        <w:tab/>
      </w:r>
      <w:r w:rsidDel="00000000" w:rsidR="00000000" w:rsidRPr="00000000">
        <w:rPr>
          <w:sz w:val="24"/>
          <w:szCs w:val="24"/>
          <w:rtl w:val="1"/>
        </w:rPr>
        <w:t xml:space="preserve">ודרשו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לעמיתך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במטלטלים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בקרקעות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הממון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אזהרת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נוהגת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בכולן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ממכר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מטלטלין</w:t>
      </w:r>
      <w:r w:rsidDel="00000000" w:rsidR="00000000" w:rsidRPr="00000000">
        <w:rPr>
          <w:sz w:val="24"/>
          <w:szCs w:val="24"/>
          <w:rtl w:val="1"/>
        </w:rPr>
        <w:t xml:space="preserve">, "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עמיתך</w:t>
      </w:r>
      <w:r w:rsidDel="00000000" w:rsidR="00000000" w:rsidRPr="00000000">
        <w:rPr>
          <w:sz w:val="24"/>
          <w:szCs w:val="24"/>
          <w:rtl w:val="1"/>
        </w:rPr>
        <w:t xml:space="preserve">",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המטלטלין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לכולן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תונו</w:t>
      </w:r>
      <w:r w:rsidDel="00000000" w:rsidR="00000000" w:rsidRPr="00000000">
        <w:rPr>
          <w:sz w:val="24"/>
          <w:szCs w:val="24"/>
          <w:rtl w:val="1"/>
        </w:rPr>
        <w:t xml:space="preserve">",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והפריש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המטלטלין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המדרשים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רבותינו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ברמזי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</w:t>
      </w:r>
      <w:r w:rsidDel="00000000" w:rsidR="00000000" w:rsidRPr="00000000">
        <w:rPr>
          <w:sz w:val="24"/>
          <w:szCs w:val="24"/>
          <w:rtl w:val="1"/>
        </w:rPr>
        <w:t xml:space="preserve">: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4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לכאורה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ויעו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מכירה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דכשמחזיר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ושבמשקל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דחוזר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החפץ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בפחות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ושבמשקל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דחוזר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החפץ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האונאה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שעשו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דנתבטלה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הפסיקה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מגזירת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שיחזיר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החזרת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וגזירת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החזרת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גזילה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דיינינן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הפסיקה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דיינינן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בהמקח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באונאה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החזרתו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מגזירת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ובמשקל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ובמנין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החזרתו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קאתינן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דכשמחזיר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נתקיימה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שנתבאר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B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דהנה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גילתה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דדעת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גזילה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והלקיחה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באיסור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לגזילה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ותיתי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מהנך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גזילה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דהלאו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גזילה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דהגזילה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מסתעפת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מהלאו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נילף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קושית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בבכורות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דהכי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דאונאת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דבגזילתו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באונאתו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גזילה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גזילה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דהלאו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לגזילה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spacing w:before="200" w:line="264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שלז</w:t>
      </w:r>
    </w:p>
    <w:p w:rsidR="00000000" w:rsidDel="00000000" w:rsidP="00000000" w:rsidRDefault="00000000" w:rsidRPr="00000000" w14:paraId="00000031">
      <w:pPr>
        <w:bidi w:val="1"/>
        <w:spacing w:before="200" w:line="264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ובממכר</w:t>
      </w:r>
      <w:r w:rsidDel="00000000" w:rsidR="00000000" w:rsidRPr="00000000">
        <w:rPr>
          <w:sz w:val="24"/>
          <w:szCs w:val="24"/>
          <w:rtl w:val="1"/>
        </w:rPr>
        <w:t xml:space="preserve">....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מישראל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עמיתך</w:t>
      </w:r>
      <w:r w:rsidDel="00000000" w:rsidR="00000000" w:rsidRPr="00000000">
        <w:rPr>
          <w:sz w:val="24"/>
          <w:szCs w:val="24"/>
          <w:rtl w:val="1"/>
        </w:rPr>
        <w:t xml:space="preserve">... ...</w:t>
      </w:r>
      <w:r w:rsidDel="00000000" w:rsidR="00000000" w:rsidRPr="00000000">
        <w:rPr>
          <w:sz w:val="24"/>
          <w:szCs w:val="24"/>
          <w:rtl w:val="1"/>
        </w:rPr>
        <w:t xml:space="preserve">שורש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שיכתב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ותרמית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בעמלו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שיחננו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האלהים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בעולמו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וביושר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תועלת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וירמו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תועלת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בישובו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יצרו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ועובר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זכרונם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להשתכר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תיקון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הישוב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שימצאו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צרכיהם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להישבון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37">
      <w:pPr>
        <w:bidi w:val="1"/>
        <w:spacing w:before="20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לעמיתיך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לעמיתך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המטלטל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המטלטל</w:t>
      </w:r>
    </w:p>
    <w:p w:rsidR="00000000" w:rsidDel="00000000" w:rsidP="00000000" w:rsidRDefault="00000000" w:rsidRPr="00000000" w14:paraId="0000003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Potential repercussions of how we view onaah: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לפרוטות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3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42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וליתני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פרוטה</w:t>
      </w:r>
      <w:r w:rsidDel="00000000" w:rsidR="00000000" w:rsidRPr="00000000">
        <w:rPr>
          <w:sz w:val="24"/>
          <w:szCs w:val="24"/>
          <w:rtl w:val="1"/>
        </w:rPr>
        <w:t xml:space="preserve">! -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לפרוטות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לפרוטות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</w:p>
    <w:p w:rsidR="00000000" w:rsidDel="00000000" w:rsidP="00000000" w:rsidRDefault="00000000" w:rsidRPr="00000000" w14:paraId="00000046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לפרוטות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וסברת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דמתניתין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לאפוקי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לפרוטות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מתרץ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הדיינין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הדיינין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לאקשויי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ולשנויי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מתרצינן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לבשם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דמתוקמא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4C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לפרוטות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לכאורה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בפרוטה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לפרוטות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לפרוטות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בפרוטות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לפרוטות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הדיינין</w:t>
      </w:r>
      <w:r w:rsidDel="00000000" w:rsidR="00000000" w:rsidRPr="00000000">
        <w:rPr>
          <w:sz w:val="24"/>
          <w:szCs w:val="24"/>
          <w:rtl w:val="1"/>
        </w:rPr>
        <w:t xml:space="preserve">. </w:t>
        <w:tab/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נתאנה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סלעים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נתאנה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דמתניתין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סלעים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ואיסורין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פרוטות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לפרוטות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דנתאנה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אונאת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בעל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הבית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-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selling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personal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belongings</w:t>
      </w:r>
    </w:p>
    <w:p w:rsidR="00000000" w:rsidDel="00000000" w:rsidP="00000000" w:rsidRDefault="00000000" w:rsidRPr="00000000" w14:paraId="0000005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spacing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57">
      <w:pPr>
        <w:bidi w:val="1"/>
        <w:spacing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....</w:t>
      </w:r>
      <w:r w:rsidDel="00000000" w:rsidR="00000000" w:rsidRPr="00000000">
        <w:rPr>
          <w:sz w:val="24"/>
          <w:szCs w:val="24"/>
          <w:rtl w:val="1"/>
        </w:rPr>
        <w:t xml:space="preserve">אתא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התגר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דימי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ישר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ישר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להדיוט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לתגר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הדיוט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? -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בצדרייתא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תשמישתיה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דיקירי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יתירי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8">
      <w:pPr>
        <w:bidi w:val="1"/>
        <w:spacing w:before="20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spacing w:before="20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spacing w:before="20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spacing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5C">
      <w:pPr>
        <w:bidi w:val="1"/>
        <w:spacing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תכשיטין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תשמיש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ביוקר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בשאילתות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אחאי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פרשת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קיג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5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spacing w:before="200" w:line="264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61">
      <w:pPr>
        <w:bidi w:val="1"/>
        <w:spacing w:before="200" w:line="264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מסתברא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דבשאלתות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להשמיענו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כמפרש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מופלג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סרסור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וורדשכי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מדותיהם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spacing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68">
      <w:pPr>
        <w:bidi w:val="1"/>
        <w:spacing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דמזבין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ארווחי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מרווח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וסלקא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בקושיא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כבעה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תשמישתיה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בקרקעותיו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אצטריך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9">
      <w:pPr>
        <w:bidi w:val="1"/>
        <w:spacing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מקובצת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6A">
      <w:pPr>
        <w:bidi w:val="1"/>
        <w:spacing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דיהבי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מאניה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spacing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70">
      <w:pPr>
        <w:bidi w:val="1"/>
        <w:spacing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להדיוט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לתגר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לתגר</w:t>
      </w:r>
      <w:r w:rsidDel="00000000" w:rsidR="00000000" w:rsidRPr="00000000">
        <w:rPr>
          <w:sz w:val="24"/>
          <w:szCs w:val="24"/>
          <w:rtl w:val="1"/>
        </w:rPr>
        <w:t xml:space="preserve">..</w:t>
      </w:r>
      <w:r w:rsidDel="00000000" w:rsidR="00000000" w:rsidRPr="00000000">
        <w:rPr>
          <w:sz w:val="24"/>
          <w:szCs w:val="24"/>
          <w:rtl w:val="1"/>
        </w:rPr>
        <w:t xml:space="preserve">גמ</w:t>
      </w:r>
      <w:r w:rsidDel="00000000" w:rsidR="00000000" w:rsidRPr="00000000">
        <w:rPr>
          <w:sz w:val="24"/>
          <w:szCs w:val="24"/>
          <w:rtl w:val="1"/>
        </w:rPr>
        <w:t xml:space="preserve">'...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לתגר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? -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בתגר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זבינתיה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ואחולי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דזבנא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דאתרמיא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זבינתא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אחריתי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והשתא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! -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בקי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7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How do we calculate the 1/6th? </w:t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7A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גמרא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אתמר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שנינו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בחמשא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בשבעה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בשיתא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בשיתא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מחילה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צדדים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7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7F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בסתם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באיסורי</w:t>
      </w:r>
    </w:p>
    <w:p w:rsidR="00000000" w:rsidDel="00000000" w:rsidP="00000000" w:rsidRDefault="00000000" w:rsidRPr="00000000" w14:paraId="00000080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</w:p>
    <w:p w:rsidR="00000000" w:rsidDel="00000000" w:rsidP="00000000" w:rsidRDefault="00000000" w:rsidRPr="00000000" w14:paraId="00000081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ובשאילתות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82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83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מחלוקתם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וקיי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באיסורי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88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שנינו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הריטב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8D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ושאלו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בשיתין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מטילין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הצדדין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והנכון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ובאונאת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דאיפליגו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  </w:t>
      </w:r>
    </w:p>
    <w:p w:rsidR="00000000" w:rsidDel="00000000" w:rsidP="00000000" w:rsidRDefault="00000000" w:rsidRPr="00000000" w14:paraId="00000091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לעמיתך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להשבון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במזיד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.   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-  </w:t>
      </w:r>
      <w:r w:rsidDel="00000000" w:rsidR="00000000" w:rsidRPr="00000000">
        <w:rPr>
          <w:sz w:val="24"/>
          <w:szCs w:val="24"/>
          <w:rtl w:val="1"/>
        </w:rPr>
        <w:t xml:space="preserve">וכמה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בשוה</w:t>
      </w:r>
      <w:r w:rsidDel="00000000" w:rsidR="00000000" w:rsidRPr="00000000">
        <w:rPr>
          <w:sz w:val="24"/>
          <w:szCs w:val="24"/>
          <w:rtl w:val="1"/>
        </w:rPr>
        <w:t xml:space="preserve"> ,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בחמש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ההונייה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ולהחזירה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למתאנה</w:t>
      </w:r>
      <w:r w:rsidDel="00000000" w:rsidR="00000000" w:rsidRPr="00000000">
        <w:rPr>
          <w:sz w:val="24"/>
          <w:szCs w:val="24"/>
          <w:rtl w:val="1"/>
        </w:rPr>
        <w:t xml:space="preserve">.   </w:t>
        <w:tab/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ההונייה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בחמשים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ופרוטה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מגיד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96">
      <w:pPr>
        <w:bidi w:val="1"/>
        <w:spacing w:befor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ופרוטה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בנ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ופרוטה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נתאנה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חלקים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וחמשים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ופרוטה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חלקים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בתמניא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בז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בחמשים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ופרוטה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החשבון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שנתאנה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מאונאת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ופרוטה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9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bidi w:val="1"/>
        <w:spacing w:before="20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רכז</w:t>
      </w:r>
      <w:r w:rsidDel="00000000" w:rsidR="00000000" w:rsidRPr="00000000">
        <w:rPr>
          <w:sz w:val="24"/>
          <w:szCs w:val="24"/>
          <w:rtl w:val="1"/>
        </w:rPr>
        <w:t xml:space="preserve">: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9B">
      <w:pPr>
        <w:bidi w:val="1"/>
        <w:spacing w:before="20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נלע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מידותיהם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בנ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ופרוטה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אזלינן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וכמשמעות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המרדכי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9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