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מלאכות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האסורות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בשמיטה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לאמר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ושבתה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הארץ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ליקוק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תזרע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תזמר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ואספת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לארץ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שדך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תזרע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וכרמך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תזמר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תקצור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נזירך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תבצר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והיתה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הארץ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לאכלה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ולעבדך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ולאמתך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ולשכירך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ולתושבך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ולבהמתך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בארצך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0"/>
        </w:rPr>
        <w:t xml:space="preserve">Social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Justice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בריבו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וצדיק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אצדיק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ושחד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צדיקים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:    (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תזרע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ואספת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והשביעת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תשמטנה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ואכלו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עמך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ויתרם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לזיתך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והגר</w:t>
      </w:r>
      <w:r w:rsidDel="00000000" w:rsidR="00000000" w:rsidRPr="00000000">
        <w:rPr>
          <w:rtl w:val="1"/>
        </w:rPr>
        <w:t xml:space="preserve">:     (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פיך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איסורים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ind w:right="72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ind w:right="72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תזמור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זמירה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ind w:right="72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תקצור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קצירה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ind w:right="72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תבצור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בצירה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ind w:right="72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ind w:right="72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ind w:right="72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ולבהמתך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בארצך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ind w:right="720"/>
        <w:rPr/>
      </w:pP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'"-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____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תולדות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1"/>
        </w:rPr>
        <w:t xml:space="preserve">מלאכות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עבודות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הארץ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1"/>
        </w:rPr>
        <w:t xml:space="preserve">האם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אסורים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בשמיטה</w:t>
      </w:r>
      <w:r w:rsidDel="00000000" w:rsidR="00000000" w:rsidRPr="00000000">
        <w:rPr>
          <w:b w:val="1"/>
          <w:u w:val="single"/>
          <w:rtl w:val="1"/>
        </w:rPr>
        <w:t xml:space="preserve">?  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רבנן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רחמנא</w:t>
      </w:r>
      <w:r w:rsidDel="00000000" w:rsidR="00000000" w:rsidRPr="00000000">
        <w:rPr>
          <w:b w:val="1"/>
          <w:rtl w:val="1"/>
        </w:rPr>
        <w:t xml:space="preserve">, {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} </w:t>
      </w:r>
      <w:r w:rsidDel="00000000" w:rsidR="00000000" w:rsidRPr="00000000">
        <w:rPr>
          <w:b w:val="1"/>
          <w:rtl w:val="1"/>
        </w:rPr>
        <w:t xml:space="preserve">תולדות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רחמנא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למימרא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דאהני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אאחרנייתא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לניכוש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uprooting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weeds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ולעידור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hoeing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ולכיסוח</w:t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0"/>
        </w:rPr>
        <w:t xml:space="preserve">cutting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weeds</w:t>
      </w:r>
      <w:r w:rsidDel="00000000" w:rsidR="00000000" w:rsidRPr="00000000">
        <w:rPr>
          <w:rtl w:val="1"/>
        </w:rPr>
        <w:t xml:space="preserve">}?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שבכרמך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מקרסמין</w:t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0"/>
        </w:rPr>
        <w:t xml:space="preserve">prune</w:t>
      </w:r>
      <w:r w:rsidDel="00000000" w:rsidR="00000000" w:rsidRPr="00000000">
        <w:rPr>
          <w:rtl w:val="1"/>
        </w:rPr>
        <w:t xml:space="preserve">},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מזרדין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trim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branches</w:t>
      </w:r>
      <w:r w:rsidDel="00000000" w:rsidR="00000000" w:rsidRPr="00000000">
        <w:rPr>
          <w:rtl w:val="1"/>
        </w:rPr>
        <w:t xml:space="preserve">},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מפסגין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chop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branches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שבכרמך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מזבלין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fertilize</w:t>
      </w:r>
      <w:r w:rsidDel="00000000" w:rsidR="00000000" w:rsidRPr="00000000">
        <w:rPr>
          <w:rtl w:val="1"/>
        </w:rPr>
        <w:t xml:space="preserve">},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remove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stones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roots</w:t>
      </w:r>
      <w:r w:rsidDel="00000000" w:rsidR="00000000" w:rsidRPr="00000000">
        <w:rPr>
          <w:rtl w:val="1"/>
        </w:rPr>
        <w:t xml:space="preserve">},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מאבקין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cover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exposed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roots</w:t>
      </w:r>
      <w:r w:rsidDel="00000000" w:rsidR="00000000" w:rsidRPr="00000000">
        <w:rPr>
          <w:rtl w:val="1"/>
        </w:rPr>
        <w:t xml:space="preserve">},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מעשנין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fumigate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יקשקש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loosen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ground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יעדר</w:t>
      </w:r>
      <w:r w:rsidDel="00000000" w:rsidR="00000000" w:rsidRPr="00000000">
        <w:rPr>
          <w:rtl w:val="1"/>
        </w:rPr>
        <w:t xml:space="preserve">  {</w:t>
      </w:r>
      <w:r w:rsidDel="00000000" w:rsidR="00000000" w:rsidRPr="00000000">
        <w:rPr>
          <w:rtl w:val="0"/>
        </w:rPr>
        <w:t xml:space="preserve">hoeing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לגפנים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ושבכרם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שבשדה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ושבכרם</w:t>
      </w:r>
      <w:r w:rsidDel="00000000" w:rsidR="00000000" w:rsidRPr="00000000">
        <w:rPr>
          <w:b w:val="1"/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מדרבנן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וקרא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אסמכתא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וקשקוש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מלקשקש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מלסקל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אברויי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סתומי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פילי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sealing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cracks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ground</w:t>
      </w:r>
      <w:r w:rsidDel="00000000" w:rsidR="00000000" w:rsidRPr="00000000">
        <w:rPr>
          <w:rtl w:val="1"/>
        </w:rPr>
        <w:t xml:space="preserve">}. </w:t>
      </w:r>
      <w:r w:rsidDel="00000000" w:rsidR="00000000" w:rsidRPr="00000000">
        <w:rPr>
          <w:b w:val="1"/>
          <w:rtl w:val="1"/>
        </w:rPr>
        <w:t xml:space="preserve">אברויי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אילן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סתומי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פילי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שרי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עבודה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שבשדה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ושבכרם</w:t>
      </w:r>
      <w:r w:rsidDel="00000000" w:rsidR="00000000" w:rsidRPr="00000000">
        <w:rPr>
          <w:b w:val="1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ובכרם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קשקוש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ושבכרם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ובכרם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ולהשביח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חשובות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ודי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דומיא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דזריעה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קשקוש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והשקאה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דצריכות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תדיר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תדיר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/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חשובה</w:t>
      </w:r>
      <w:r w:rsidDel="00000000" w:rsidR="00000000" w:rsidRPr="00000000">
        <w:rPr>
          <w:b w:val="1"/>
          <w:rtl w:val="1"/>
        </w:rPr>
        <w:t xml:space="preserve">/ </w:t>
      </w:r>
      <w:r w:rsidDel="00000000" w:rsidR="00000000" w:rsidRPr="00000000">
        <w:rPr>
          <w:b w:val="1"/>
          <w:rtl w:val="1"/>
        </w:rPr>
        <w:t xml:space="preserve">ומותר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אהדדי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חרישה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בשביעית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0"/>
        </w:rPr>
        <w:t xml:space="preserve">Perhaps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depends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on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who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is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the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locus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of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the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prohibitions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of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Shviit</w:t>
      </w:r>
      <w:r w:rsidDel="00000000" w:rsidR="00000000" w:rsidRPr="00000000">
        <w:rPr>
          <w:b w:val="1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,  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}?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: [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]+: </w:t>
      </w:r>
      <w:r w:rsidDel="00000000" w:rsidR="00000000" w:rsidRPr="00000000">
        <w:rPr>
          <w:rtl w:val="1"/>
        </w:rPr>
        <w:t xml:space="preserve">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הבצירה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וזמירה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קורקוס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דממעטינן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...  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קורקוס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b w:val="1"/>
          <w:rtl w:val="1"/>
        </w:rPr>
        <w:t xml:space="preserve">ביאור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חרישות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לצורך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האילנות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שיגדלו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יתבאר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שאסורה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לצורך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האילנות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לצורך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יפסד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ויתקלקל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תשבות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כדכתי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בחריש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ובקציר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זריעותיו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בחרישתו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זריעה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נוטע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באילן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סרק</w:t>
      </w:r>
    </w:p>
    <w:p w:rsidR="00000000" w:rsidDel="00000000" w:rsidP="00000000" w:rsidRDefault="00000000" w:rsidRPr="00000000" w14:paraId="0000003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ליברמן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סרק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זוהמא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הפגין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יקטום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נוטע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וזומר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0"/>
        </w:rPr>
        <w:t xml:space="preserve">Planting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a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whole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tree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הנוטע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מדבריהן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משקלוב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- 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 '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'...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: '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'...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1"/>
        </w:rPr>
        <w:t xml:space="preserve">וממה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וסידר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דסבירא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... </w:t>
      </w:r>
      <w:r w:rsidDel="00000000" w:rsidR="00000000" w:rsidRPr="00000000">
        <w:rPr>
          <w:b w:val="1"/>
          <w:rtl w:val="1"/>
        </w:rPr>
        <w:t xml:space="preserve">דאינו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מדרבנן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ואור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החמירו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בנטיעה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תוספת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דאורייתא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בנטיעה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מבחריש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ליטע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שהאילן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האילנות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מיגדל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יטע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לעולם</w:t>
      </w:r>
      <w:r w:rsidDel="00000000" w:rsidR="00000000" w:rsidRPr="00000000">
        <w:rPr>
          <w:rtl w:val="0"/>
        </w:rPr>
        <w:t xml:space="preserve">..</w:t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u w:val="single"/>
          <w:rtl w:val="1"/>
        </w:rPr>
        <w:t xml:space="preserve">דזמירה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זריעה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שכן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נטיעה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דדמיא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לזריעה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ועיקר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מלאכה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מזמירה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לקיימם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למימרא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4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חזון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</w:t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שדקדקו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בלשונם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קנייבסקי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אמונה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ביאור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ויובל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כדאורייתא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צהלון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מהריט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החדשות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קעו</w:t>
      </w:r>
    </w:p>
    <w:p w:rsidR="00000000" w:rsidDel="00000000" w:rsidP="00000000" w:rsidRDefault="00000000" w:rsidRPr="00000000" w14:paraId="0000004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?</w:t>
        <w:tab/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אמנם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נוטע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ממעשיו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השמיטה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יגדל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נטיעתו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הנטיעה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חזון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</w:p>
    <w:p w:rsidR="00000000" w:rsidDel="00000000" w:rsidP="00000000" w:rsidRDefault="00000000" w:rsidRPr="00000000" w14:paraId="0000004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זימור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b w:val="1"/>
          <w:rtl w:val="1"/>
        </w:rPr>
        <w:t xml:space="preserve">ואפשר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מזהירין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הדין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ולפיכך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הנטיעה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דאורייתא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'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'.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