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type of Marketing techniques are allowe in Halkha? </w:t>
      </w:r>
    </w:p>
    <w:p w:rsidR="00000000" w:rsidDel="00000000" w:rsidP="00000000" w:rsidRDefault="00000000" w:rsidRPr="00000000" w14:paraId="0000000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ואגוזין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מרגילן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הגריסין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מפרכסין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גמרא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מפליגנא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אמגוזי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שיסקי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דמרווח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לתרעא</w:t>
      </w:r>
    </w:p>
    <w:p w:rsidR="00000000" w:rsidDel="00000000" w:rsidP="00000000" w:rsidRDefault="00000000" w:rsidRPr="00000000" w14:paraId="00000008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השער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שמרגיל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ומקפח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מזונות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חבירו</w:t>
      </w:r>
      <w:r w:rsidDel="00000000" w:rsidR="00000000" w:rsidRPr="00000000">
        <w:rPr>
          <w:b w:val="1"/>
          <w:sz w:val="24"/>
          <w:szCs w:val="24"/>
          <w:rtl w:val="1"/>
        </w:rPr>
        <w:t xml:space="preserve">.  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לטוב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אוצרי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מרגיל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אצלו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אותן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במשקל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בעירוב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ביפות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הגריסין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לחנוני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ואגוזים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להרגילן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ופוחת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במקיפין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לעכב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גניבת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הדעת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הגריסין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הנראה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מפרכסין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משרבטין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משרבטין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תרגמו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דחיזרא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זעירי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מזקפתא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למרמא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לסרבלא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לכסכוסי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קרמי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דיקולי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מפרכסין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בחדתי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בעתיקי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פרכוס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ולדיקניה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זיבנן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זבניה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אשקיין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חווריה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לרישיה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ולדיקניה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מאבוך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קרי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אנפשיה</w:t>
      </w:r>
      <w:r w:rsidDel="00000000" w:rsidR="00000000" w:rsidRPr="00000000">
        <w:rPr>
          <w:sz w:val="24"/>
          <w:szCs w:val="24"/>
          <w:rtl w:val="1"/>
        </w:rPr>
        <w:t xml:space="preserve">: +</w:t>
      </w:r>
      <w:r w:rsidDel="00000000" w:rsidR="00000000" w:rsidRPr="00000000">
        <w:rPr>
          <w:sz w:val="24"/>
          <w:szCs w:val="24"/>
          <w:rtl w:val="1"/>
        </w:rPr>
        <w:t xml:space="preserve">משלי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צדיק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הדרן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יבור</w:t>
      </w:r>
    </w:p>
    <w:p w:rsidR="00000000" w:rsidDel="00000000" w:rsidP="00000000" w:rsidRDefault="00000000" w:rsidRPr="00000000" w14:paraId="00000019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546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line="3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מספקין</w:t>
      </w:r>
    </w:p>
    <w:p w:rsidR="00000000" w:rsidDel="00000000" w:rsidP="00000000" w:rsidRDefault="00000000" w:rsidRPr="00000000" w14:paraId="0000001D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זקנתם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צובעין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לרבות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במחיריהם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יקלפם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שירבו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הקונים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במחיר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ואפילו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מכרה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בדמים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קלים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גנבת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הדעת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בנפיחה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נופחין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הנמכרים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שילבין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לגנוב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כשחוטה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0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תפארת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ערכין</w:t>
      </w:r>
    </w:p>
    <w:p w:rsidR="00000000" w:rsidDel="00000000" w:rsidP="00000000" w:rsidRDefault="00000000" w:rsidRPr="00000000" w14:paraId="00000024">
      <w:pPr>
        <w:bidi w:val="1"/>
        <w:spacing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משביח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, [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מפרכסין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להשביח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מדהו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בשמתכוון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לרמאות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שיחשוב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בהמקח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באמת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לרחצו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ולסכו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לעורר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חפץ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הקונים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לקנותו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להלבישו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במלבושין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בהמלבושים</w:t>
      </w:r>
      <w:r w:rsidDel="00000000" w:rsidR="00000000" w:rsidRPr="00000000">
        <w:rPr>
          <w:sz w:val="24"/>
          <w:szCs w:val="24"/>
          <w:rtl w:val="1"/>
        </w:rPr>
        <w:t xml:space="preserve">], </w:t>
      </w:r>
      <w:r w:rsidDel="00000000" w:rsidR="00000000" w:rsidRPr="00000000">
        <w:rPr>
          <w:sz w:val="24"/>
          <w:szCs w:val="24"/>
          <w:rtl w:val="1"/>
        </w:rPr>
        <w:t xml:space="preserve">ודוקא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שישתבח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וכדמסיק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