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שביתה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1"/>
        </w:rPr>
        <w:t xml:space="preserve">והשביעית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:...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תשמטנה</w:t>
      </w:r>
      <w:r w:rsidDel="00000000" w:rsidR="00000000" w:rsidRPr="00000000">
        <w:rPr>
          <w:b w:val="1"/>
          <w:rtl w:val="1"/>
        </w:rPr>
        <w:t xml:space="preserve">' - </w:t>
      </w:r>
      <w:r w:rsidDel="00000000" w:rsidR="00000000" w:rsidRPr="00000000">
        <w:rPr>
          <w:b w:val="1"/>
          <w:rtl w:val="1"/>
        </w:rPr>
        <w:t xml:space="preserve">מעבודה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ונטשתה</w:t>
      </w:r>
      <w:r w:rsidDel="00000000" w:rsidR="00000000" w:rsidRPr="00000000">
        <w:rPr>
          <w:b w:val="1"/>
          <w:rtl w:val="1"/>
        </w:rPr>
        <w:t xml:space="preserve">' - </w:t>
      </w:r>
      <w:r w:rsidDel="00000000" w:rsidR="00000000" w:rsidRPr="00000000">
        <w:rPr>
          <w:b w:val="1"/>
          <w:rtl w:val="1"/>
        </w:rPr>
        <w:t xml:space="preserve">מלזבל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ומלקשקש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}.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הוזהרנו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המקשקש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מפראג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{</w:t>
      </w:r>
      <w:r w:rsidDel="00000000" w:rsidR="00000000" w:rsidRPr="00000000">
        <w:rPr>
          <w:b w:val="1"/>
          <w:rtl w:val="1"/>
        </w:rPr>
        <w:t xml:space="preserve">בגמרא</w:t>
      </w:r>
      <w:r w:rsidDel="00000000" w:rsidR="00000000" w:rsidRPr="00000000">
        <w:rPr>
          <w:b w:val="1"/>
          <w:rtl w:val="1"/>
        </w:rPr>
        <w:t xml:space="preserve">}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מדרבנן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שהתורה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מסרן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לחכמים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בתורה</w:t>
      </w:r>
      <w:r w:rsidDel="00000000" w:rsidR="00000000" w:rsidRPr="00000000">
        <w:rPr>
          <w:b w:val="1"/>
          <w:rtl w:val="1"/>
        </w:rPr>
        <w:t xml:space="preserve"> '</w:t>
      </w:r>
      <w:r w:rsidDel="00000000" w:rsidR="00000000" w:rsidRPr="00000000">
        <w:rPr>
          <w:b w:val="1"/>
          <w:rtl w:val="1"/>
        </w:rPr>
        <w:t xml:space="preserve">ונטשתה</w:t>
      </w:r>
      <w:r w:rsidDel="00000000" w:rsidR="00000000" w:rsidRPr="00000000">
        <w:rPr>
          <w:b w:val="1"/>
          <w:rtl w:val="1"/>
        </w:rPr>
        <w:t xml:space="preserve">' - </w:t>
      </w:r>
      <w:r w:rsidDel="00000000" w:rsidR="00000000" w:rsidRPr="00000000">
        <w:rPr>
          <w:b w:val="1"/>
          <w:rtl w:val="1"/>
        </w:rPr>
        <w:t xml:space="preserve">משאר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שמסרן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  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חגיגה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   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ולקשקש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'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ומלקשקש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מנוחה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\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....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בלשונם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האסמכתות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שהמדרש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שנצטוינו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מנוחה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והזהובים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:(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יחיאל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אפשטיין</w:t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העתיד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שמיטה</w:t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1"/>
        </w:rPr>
        <w:t xml:space="preserve">ויראה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המלאכות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‎16}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פיינשטיין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אגרות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יורה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וקציר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דילפינן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המלאכות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המפורשים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למילף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מזהירין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עונשין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הלמוד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דנכתב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זמירה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שביתה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</w:t>
      </w:r>
      <w:r w:rsidDel="00000000" w:rsidR="00000000" w:rsidRPr="00000000">
        <w:rPr>
          <w:b w:val="1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אימור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}</w:t>
      </w:r>
      <w:r w:rsidDel="00000000" w:rsidR="00000000" w:rsidRPr="00000000">
        <w:rPr>
          <w:rtl w:val="1"/>
        </w:rPr>
        <w:t xml:space="preserve">לשחיטה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לשוחטה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מצווה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שביתת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שדהו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בשביעית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להובירה</w:t>
      </w:r>
      <w:r w:rsidDel="00000000" w:rsidR="00000000" w:rsidRPr="00000000">
        <w:rPr>
          <w:rtl w:val="1"/>
        </w:rPr>
        <w:t xml:space="preserve">!...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- '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ולהשכיר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נצטוו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שביתת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משריותא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דבשביתת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הזהרנו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כדפירש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דנפקא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לארץ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להשכיר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בשביעית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סד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מטראני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בפסקיו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'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בהבלעה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אברהם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יצחק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קוק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בהבלעה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ההבלעה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הכיעור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מנחת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חינוך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קיב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ובשמיטה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לנוכ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: '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'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', '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פערלא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ביאור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עשין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סד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' '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ארצך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שמוזהרין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שצונו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מעבודת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תשא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שהזהירנו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יתעלה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הקדמה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פרטן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הארץ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ממלאכתה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הקוצרים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הבוצרים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שישמט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מעבודת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חזון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שביתה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בשכירות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גזירת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ונסיוני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אלחנן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מבואר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דמצווה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שביתת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ריטב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והספיחין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נזרע</w:t>
      </w:r>
      <w:r w:rsidDel="00000000" w:rsidR="00000000" w:rsidRPr="00000000">
        <w:rPr>
          <w:rtl w:val="1"/>
        </w:rPr>
        <w:t xml:space="preserve">' {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גויים</w:t>
      </w:r>
      <w:r w:rsidDel="00000000" w:rsidR="00000000" w:rsidRPr="00000000">
        <w:rPr>
          <w:rtl w:val="1"/>
        </w:rPr>
        <w:t xml:space="preserve">}? {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ששכירת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</w:t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שניים</w:t>
      </w:r>
      <w:r w:rsidDel="00000000" w:rsidR="00000000" w:rsidRPr="00000000">
        <w:rPr>
          <w:rtl w:val="1"/>
        </w:rPr>
        <w:t xml:space="preserve">}...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שתשבות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הארץ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יעבוד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: '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ושבתה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'' </w:t>
      </w:r>
      <w:r w:rsidDel="00000000" w:rsidR="00000000" w:rsidRPr="00000000">
        <w:rPr>
          <w:rtl w:val="1"/>
        </w:rPr>
        <w:t xml:space="preserve">ונאמר</w:t>
      </w:r>
      <w:r w:rsidDel="00000000" w:rsidR="00000000" w:rsidRPr="00000000">
        <w:rPr>
          <w:rtl w:val="1"/>
        </w:rPr>
        <w:t xml:space="preserve">: '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ביטל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מצוות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תעשה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שמצוה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: '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פסוקים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'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שביתתו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