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מעמד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המעות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ריבית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status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money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get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charged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yours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have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give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back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Should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depend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Chakira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צדקה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קצוצה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יוצאה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בדיינין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בדיינין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יוחנן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קצוצה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יוצאה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בדיינין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גמורה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פרעתו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וחזר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וקידשה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מקודשת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שפרעם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לוה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למלוה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לגמרי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וממון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חובה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להחזירו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ובית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מוציאין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ממנו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כדמתקן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דגזל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בהשבון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וכדפרישית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מרווח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בדיינין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מסתברא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יוצאה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בדיינין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לרדת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לנכסיו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להחזיר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מדכתיב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וחי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כופין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ומכין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שתצא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נפשו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ליחייבי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לאהדורי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בהניח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אביהן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אחריות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שאמרו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בגוזל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'), </w:t>
      </w:r>
      <w:r w:rsidDel="00000000" w:rsidR="00000000" w:rsidRPr="00000000">
        <w:rPr>
          <w:sz w:val="24"/>
          <w:szCs w:val="24"/>
          <w:rtl w:val="1"/>
        </w:rPr>
        <w:t xml:space="preserve">ובהניח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וכפיית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הגזלן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׳ </w:t>
      </w:r>
      <w:r w:rsidDel="00000000" w:rsidR="00000000" w:rsidRPr="00000000">
        <w:rPr>
          <w:sz w:val="24"/>
          <w:szCs w:val="24"/>
          <w:rtl w:val="1"/>
        </w:rPr>
        <w:t xml:space="preserve">ריטב</w:t>
      </w:r>
      <w:r w:rsidDel="00000000" w:rsidR="00000000" w:rsidRPr="00000000">
        <w:rPr>
          <w:sz w:val="24"/>
          <w:szCs w:val="24"/>
          <w:rtl w:val="1"/>
        </w:rPr>
        <w:t xml:space="preserve">״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מקודשת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חשיב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דרחמנא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אפקרי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׳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והמקדש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במלוה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מקודשת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שמג</w:t>
      </w:r>
    </w:p>
    <w:p w:rsidR="00000000" w:rsidDel="00000000" w:rsidP="00000000" w:rsidRDefault="00000000" w:rsidRPr="00000000" w14:paraId="00000010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בדיינין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יורדין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לנכסי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ומוציאין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בגזלות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וחבלות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בשוטים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if the borrower wants to forgive/waive his right to be repaid the interest?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דמדעתו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ומכאן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מהניא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פרעון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דאלו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מהניא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נמחל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שגבאו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המלוה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דהשתא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שמחל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תביעת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אצלו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דקודם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פרעון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דחשבה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רחמנא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באונס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הרמב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דמחילה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דלאחר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פרעון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מהניא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הגאונים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מהניא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ודעת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מורי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כדעת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הגאונים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וטעם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מורי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דתביעת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הויא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כשאר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תביעות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בגזל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וכיוצא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חבריה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שיעבוד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חיוב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שחייב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להחזיר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שבלע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בדיינין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המסויים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לשמים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שכן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תועיל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מחילת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חברו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idea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לשמיים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opens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third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possibility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explaining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nature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סמיות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עיניהם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יורד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ולבלר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וקולמוס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וכותבין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וחותמין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פלוני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באלהי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ומלוה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מתמוטטין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1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ותרבית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מרויח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וזיל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הריבית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מסיר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מדת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הבטחון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ומתן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עיניו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נשואות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ירויח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הנותן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בריבית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ריוח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ידוע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וקצוב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וסומך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ערבונו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שבידו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יסיר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הבטחון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מקטני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ואבירי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הרחוקים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בטחונם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בריבית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חזקתו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וגזלן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כבוש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תחת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בעקיפין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ערבונו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לעולם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בקרן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בריוח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עיניו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נשואות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להצילו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הריבית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בהלוואה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שסלקא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תשימון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נסמכה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לפרשת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השמיטה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השמיטה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שנשים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בטחונינו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Perhaps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multiple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1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מקצת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גאונים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שאסרתה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...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גדולי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המחברים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מוחל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שהנגזל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למחול</w:t>
      </w:r>
    </w:p>
    <w:p w:rsidR="00000000" w:rsidDel="00000000" w:rsidP="00000000" w:rsidRDefault="00000000" w:rsidRPr="00000000" w14:paraId="00000022">
      <w:pPr>
        <w:bidi w:val="1"/>
        <w:spacing w:before="200"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ויראה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המחילה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מועלת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יוצאה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בדיינין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נפקע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במחילה</w:t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אכלך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שהוצרך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דקרא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לכתוב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רלה</w:t>
      </w:r>
    </w:p>
    <w:p w:rsidR="00000000" w:rsidDel="00000000" w:rsidP="00000000" w:rsidRDefault="00000000" w:rsidRPr="00000000" w14:paraId="00000027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בהר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אמנם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שילוה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ענינים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הנשך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הריבית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והריבית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הנשך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2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מג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ובמרבית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בגור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2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אכלך</w:t>
      </w:r>
      <w:r w:rsidDel="00000000" w:rsidR="00000000" w:rsidRPr="00000000">
        <w:rPr>
          <w:sz w:val="24"/>
          <w:szCs w:val="24"/>
          <w:rtl w:val="1"/>
        </w:rPr>
        <w:t xml:space="preserve">",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צדדין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;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נושך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חבירו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ואסרה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לישך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חבירו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שמרבה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ונושך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הלאוין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aren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inhereitors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obligated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return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Especially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think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obligation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return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monetary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one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2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דמדעת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ליתנהו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גביה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בתורת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גזילה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בתורת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הלואה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דמדעת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נתנם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איתנייהו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גביה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בתורת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גזילה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כנתינה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בטעות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בתורת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ומיקרי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בעיניה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שהמעות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להחזיר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העשין</w:t>
      </w:r>
    </w:p>
    <w:p w:rsidR="00000000" w:rsidDel="00000000" w:rsidP="00000000" w:rsidRDefault="00000000" w:rsidRPr="00000000" w14:paraId="00000036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שנצטוינו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להחזיר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שלקחנו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מאחינו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נגזול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רמה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הגזילה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הגזלה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קצד</w:t>
      </w:r>
      <w:r w:rsidDel="00000000" w:rsidR="00000000" w:rsidRPr="00000000">
        <w:rPr>
          <w:sz w:val="24"/>
          <w:szCs w:val="24"/>
          <w:rtl w:val="1"/>
        </w:rPr>
        <w:t xml:space="preserve">],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לקחנו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להשיבו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לנותן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שנתנו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ברצון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נפשו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גזלנוהו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בהר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מאלהיך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אהדר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דליחי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עמך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קצוצה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יוצאה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בדיינין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get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מלקות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3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הלאוין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שניתן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להשבון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דאדרבה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אהדורי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נינהו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ומיהו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שגבו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לדברי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מתקן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לאויה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בחזרה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שהכתוב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רוצה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שיקיא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שאכל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פליגי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שגבה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מתקן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בקרועי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שטרא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דלת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מיתקין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ולר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נחמיה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מיתקין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ושיילינן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דשימה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