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DED5" w14:textId="4CE94E4B" w:rsidR="002F721A" w:rsidRPr="007D2A72" w:rsidRDefault="002F721A">
      <w:pPr>
        <w:rPr>
          <w:rFonts w:ascii="David" w:hAnsi="David" w:cs="David"/>
          <w:sz w:val="26"/>
          <w:szCs w:val="26"/>
          <w:rtl/>
        </w:rPr>
      </w:pPr>
      <w:r w:rsidRPr="007D2A72">
        <w:rPr>
          <w:rFonts w:ascii="David" w:hAnsi="David" w:cs="David"/>
          <w:sz w:val="26"/>
          <w:szCs w:val="26"/>
          <w:rtl/>
        </w:rPr>
        <w:t xml:space="preserve">ב"ה  </w:t>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r>
      <w:r w:rsidRPr="007D2A72">
        <w:rPr>
          <w:rFonts w:ascii="David" w:hAnsi="David" w:cs="David"/>
          <w:sz w:val="26"/>
          <w:szCs w:val="26"/>
          <w:rtl/>
        </w:rPr>
        <w:tab/>
        <w:t>רב ארי שבט</w:t>
      </w:r>
    </w:p>
    <w:p w14:paraId="58D3C41D" w14:textId="14D258C7" w:rsidR="002F721A" w:rsidRPr="007D2A72" w:rsidRDefault="002F721A" w:rsidP="002F721A">
      <w:pPr>
        <w:bidi w:val="0"/>
        <w:jc w:val="center"/>
        <w:rPr>
          <w:rFonts w:ascii="David" w:hAnsi="David" w:cs="David"/>
          <w:b/>
          <w:bCs/>
          <w:sz w:val="32"/>
          <w:szCs w:val="32"/>
          <w:u w:val="single"/>
        </w:rPr>
      </w:pPr>
      <w:r w:rsidRPr="007D2A72">
        <w:rPr>
          <w:rFonts w:ascii="David" w:hAnsi="David" w:cs="David"/>
          <w:b/>
          <w:bCs/>
          <w:sz w:val="32"/>
          <w:szCs w:val="32"/>
          <w:u w:val="single"/>
          <w:rtl/>
        </w:rPr>
        <w:t>המחלוקת עד כמה חזקה הבחירה החופשית</w:t>
      </w:r>
    </w:p>
    <w:p w14:paraId="6D732FC2" w14:textId="7767809E" w:rsidR="002F721A" w:rsidRPr="007D2A72" w:rsidRDefault="00BA7E1F" w:rsidP="002F721A">
      <w:pPr>
        <w:bidi w:val="0"/>
        <w:jc w:val="center"/>
        <w:rPr>
          <w:rFonts w:ascii="David" w:hAnsi="David" w:cs="David"/>
          <w:b/>
          <w:bCs/>
          <w:sz w:val="32"/>
          <w:szCs w:val="32"/>
          <w:u w:val="single"/>
        </w:rPr>
      </w:pPr>
      <w:r w:rsidRPr="007D2A72">
        <w:rPr>
          <w:rFonts w:ascii="David" w:hAnsi="David" w:cs="David"/>
          <w:b/>
          <w:bCs/>
          <w:sz w:val="32"/>
          <w:szCs w:val="32"/>
          <w:u w:val="single"/>
        </w:rPr>
        <w:t>"How 'Free' is</w:t>
      </w:r>
      <w:r w:rsidR="002F721A" w:rsidRPr="007D2A72">
        <w:rPr>
          <w:rFonts w:ascii="David" w:hAnsi="David" w:cs="David"/>
          <w:b/>
          <w:bCs/>
          <w:sz w:val="32"/>
          <w:szCs w:val="32"/>
          <w:u w:val="single"/>
        </w:rPr>
        <w:t xml:space="preserve"> Free-Will</w:t>
      </w:r>
      <w:r w:rsidRPr="007D2A72">
        <w:rPr>
          <w:rFonts w:ascii="David" w:hAnsi="David" w:cs="David"/>
          <w:b/>
          <w:bCs/>
          <w:sz w:val="32"/>
          <w:szCs w:val="32"/>
          <w:u w:val="single"/>
        </w:rPr>
        <w:t>"</w:t>
      </w:r>
    </w:p>
    <w:p w14:paraId="7FDCD2E2" w14:textId="77777777" w:rsidR="00BE7B6F" w:rsidRPr="007D2A72" w:rsidRDefault="00BE7B6F" w:rsidP="00BE7B6F">
      <w:pPr>
        <w:bidi w:val="0"/>
        <w:jc w:val="center"/>
        <w:rPr>
          <w:rFonts w:ascii="David" w:hAnsi="David" w:cs="David"/>
          <w:b/>
          <w:bCs/>
          <w:sz w:val="26"/>
          <w:szCs w:val="26"/>
          <w:u w:val="single"/>
        </w:rPr>
      </w:pPr>
    </w:p>
    <w:p w14:paraId="35C7ADD2" w14:textId="5AA65767"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bCs/>
          <w:kern w:val="0"/>
          <w:sz w:val="26"/>
          <w:szCs w:val="26"/>
          <w:rtl/>
        </w:rPr>
        <w:t xml:space="preserve">1. </w:t>
      </w:r>
      <w:proofErr w:type="spellStart"/>
      <w:r w:rsidRPr="007D2A72">
        <w:rPr>
          <w:rFonts w:ascii="David" w:hAnsi="David" w:cs="David"/>
          <w:bCs/>
          <w:kern w:val="0"/>
          <w:sz w:val="26"/>
          <w:szCs w:val="26"/>
          <w:rtl/>
        </w:rPr>
        <w:t>הראי"ה</w:t>
      </w:r>
      <w:proofErr w:type="spellEnd"/>
      <w:r w:rsidRPr="007D2A72">
        <w:rPr>
          <w:rFonts w:ascii="David" w:hAnsi="David" w:cs="David"/>
          <w:bCs/>
          <w:kern w:val="0"/>
          <w:sz w:val="26"/>
          <w:szCs w:val="26"/>
          <w:rtl/>
        </w:rPr>
        <w:t xml:space="preserve"> קוק, </w:t>
      </w:r>
      <w:r w:rsidRPr="007D2A72">
        <w:rPr>
          <w:rFonts w:ascii="David" w:hAnsi="David" w:cs="David"/>
          <w:bCs/>
          <w:kern w:val="0"/>
          <w:sz w:val="26"/>
          <w:szCs w:val="26"/>
          <w:rtl/>
        </w:rPr>
        <w:t xml:space="preserve">עין איה שבת </w:t>
      </w:r>
      <w:r w:rsidRPr="007D2A72">
        <w:rPr>
          <w:rFonts w:ascii="David" w:hAnsi="David" w:cs="David"/>
          <w:bCs/>
          <w:kern w:val="0"/>
          <w:sz w:val="26"/>
          <w:szCs w:val="26"/>
          <w:rtl/>
        </w:rPr>
        <w:t>ה,</w:t>
      </w:r>
      <w:r w:rsidRPr="007D2A72">
        <w:rPr>
          <w:rFonts w:ascii="David" w:hAnsi="David" w:cs="David"/>
          <w:bCs/>
          <w:kern w:val="0"/>
          <w:sz w:val="26"/>
          <w:szCs w:val="26"/>
          <w:rtl/>
        </w:rPr>
        <w:t xml:space="preserve"> לח</w:t>
      </w:r>
      <w:r w:rsidRPr="007D2A72">
        <w:rPr>
          <w:rFonts w:ascii="David" w:hAnsi="David" w:cs="David"/>
          <w:bCs/>
          <w:kern w:val="0"/>
          <w:sz w:val="26"/>
          <w:szCs w:val="26"/>
          <w:rtl/>
        </w:rPr>
        <w:t xml:space="preserve"> על מסכת </w:t>
      </w:r>
      <w:r w:rsidRPr="007D2A72">
        <w:rPr>
          <w:rFonts w:ascii="David" w:hAnsi="David" w:cs="David"/>
          <w:kern w:val="0"/>
          <w:sz w:val="26"/>
          <w:szCs w:val="26"/>
          <w:rtl/>
        </w:rPr>
        <w:t xml:space="preserve">שבת דף </w:t>
      </w:r>
      <w:proofErr w:type="spellStart"/>
      <w:r w:rsidRPr="007D2A72">
        <w:rPr>
          <w:rFonts w:ascii="David" w:hAnsi="David" w:cs="David"/>
          <w:kern w:val="0"/>
          <w:sz w:val="26"/>
          <w:szCs w:val="26"/>
          <w:rtl/>
        </w:rPr>
        <w:t>נה</w:t>
      </w:r>
      <w:proofErr w:type="spellEnd"/>
      <w:r w:rsidRPr="007D2A72">
        <w:rPr>
          <w:rFonts w:ascii="David" w:hAnsi="David" w:cs="David"/>
          <w:kern w:val="0"/>
          <w:sz w:val="26"/>
          <w:szCs w:val="26"/>
          <w:rtl/>
        </w:rPr>
        <w:t xml:space="preserve"> ע”ב </w:t>
      </w:r>
    </w:p>
    <w:p w14:paraId="4BECE090" w14:textId="4BAA34AA" w:rsidR="003C2AEF" w:rsidRDefault="003C2AEF" w:rsidP="003C2AEF">
      <w:pPr>
        <w:autoSpaceDE w:val="0"/>
        <w:autoSpaceDN w:val="0"/>
        <w:adjustRightInd w:val="0"/>
        <w:spacing w:after="0" w:line="240" w:lineRule="auto"/>
        <w:rPr>
          <w:rFonts w:ascii="David" w:hAnsi="David" w:cs="David"/>
          <w:bCs/>
          <w:kern w:val="0"/>
          <w:sz w:val="26"/>
          <w:szCs w:val="26"/>
          <w:rtl/>
        </w:rPr>
      </w:pPr>
      <w:r w:rsidRPr="003E34F8">
        <w:rPr>
          <w:rFonts w:ascii="David" w:hAnsi="David" w:cs="David"/>
          <w:bCs/>
          <w:kern w:val="0"/>
          <w:sz w:val="28"/>
          <w:szCs w:val="28"/>
          <w:rtl/>
        </w:rPr>
        <w:t xml:space="preserve">מיתיבי, אמרו מלאכי השרת לפני הקב"ה, </w:t>
      </w:r>
      <w:proofErr w:type="spellStart"/>
      <w:r w:rsidRPr="003E34F8">
        <w:rPr>
          <w:rFonts w:ascii="David" w:hAnsi="David" w:cs="David"/>
          <w:bCs/>
          <w:kern w:val="0"/>
          <w:sz w:val="28"/>
          <w:szCs w:val="28"/>
          <w:rtl/>
        </w:rPr>
        <w:t>רבונו</w:t>
      </w:r>
      <w:proofErr w:type="spellEnd"/>
      <w:r w:rsidRPr="003E34F8">
        <w:rPr>
          <w:rFonts w:ascii="David" w:hAnsi="David" w:cs="David"/>
          <w:bCs/>
          <w:kern w:val="0"/>
          <w:sz w:val="28"/>
          <w:szCs w:val="28"/>
          <w:rtl/>
        </w:rPr>
        <w:t xml:space="preserve"> ש"ע, מפני מה קנסת מיתה על אדם הראשון. א"ל מצוה קלה </w:t>
      </w:r>
      <w:proofErr w:type="spellStart"/>
      <w:r w:rsidRPr="003E34F8">
        <w:rPr>
          <w:rFonts w:ascii="David" w:hAnsi="David" w:cs="David"/>
          <w:bCs/>
          <w:kern w:val="0"/>
          <w:sz w:val="28"/>
          <w:szCs w:val="28"/>
          <w:rtl/>
        </w:rPr>
        <w:t>צויתיו</w:t>
      </w:r>
      <w:proofErr w:type="spellEnd"/>
      <w:r w:rsidRPr="003E34F8">
        <w:rPr>
          <w:rFonts w:ascii="David" w:hAnsi="David" w:cs="David"/>
          <w:bCs/>
          <w:kern w:val="0"/>
          <w:sz w:val="28"/>
          <w:szCs w:val="28"/>
          <w:rtl/>
        </w:rPr>
        <w:t xml:space="preserve"> ועבר עליה. א"ל והלא משה ואהרן שקיימו כל התורה כולה ומתו. א"ל "מקרה אחד לצדיק ולרשע לטוב וגו'".</w:t>
      </w:r>
      <w:r w:rsidRPr="003E34F8">
        <w:rPr>
          <w:rFonts w:ascii="David" w:hAnsi="David" w:cs="David"/>
          <w:kern w:val="0"/>
          <w:sz w:val="28"/>
          <w:szCs w:val="28"/>
          <w:rtl/>
        </w:rPr>
        <w:t xml:space="preserve"> </w:t>
      </w:r>
    </w:p>
    <w:p w14:paraId="2514EE36" w14:textId="562105EB"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bCs/>
          <w:kern w:val="0"/>
          <w:sz w:val="26"/>
          <w:szCs w:val="26"/>
          <w:rtl/>
        </w:rPr>
        <w:t xml:space="preserve">הוא </w:t>
      </w:r>
      <w:proofErr w:type="spellStart"/>
      <w:r w:rsidRPr="007D2A72">
        <w:rPr>
          <w:rFonts w:ascii="David" w:hAnsi="David" w:cs="David"/>
          <w:bCs/>
          <w:kern w:val="0"/>
          <w:sz w:val="26"/>
          <w:szCs w:val="26"/>
          <w:rtl/>
        </w:rPr>
        <w:t>דאמר</w:t>
      </w:r>
      <w:proofErr w:type="spellEnd"/>
      <w:r w:rsidRPr="007D2A72">
        <w:rPr>
          <w:rFonts w:ascii="David" w:hAnsi="David" w:cs="David"/>
          <w:bCs/>
          <w:kern w:val="0"/>
          <w:sz w:val="26"/>
          <w:szCs w:val="26"/>
          <w:rtl/>
        </w:rPr>
        <w:t xml:space="preserve"> כי האי תנא, </w:t>
      </w:r>
      <w:proofErr w:type="spellStart"/>
      <w:r w:rsidRPr="007D2A72">
        <w:rPr>
          <w:rFonts w:ascii="David" w:hAnsi="David" w:cs="David"/>
          <w:bCs/>
          <w:kern w:val="0"/>
          <w:sz w:val="26"/>
          <w:szCs w:val="26"/>
          <w:rtl/>
        </w:rPr>
        <w:t>דתניא</w:t>
      </w:r>
      <w:proofErr w:type="spellEnd"/>
      <w:r w:rsidRPr="007D2A72">
        <w:rPr>
          <w:rFonts w:ascii="David" w:hAnsi="David" w:cs="David"/>
          <w:bCs/>
          <w:kern w:val="0"/>
          <w:sz w:val="26"/>
          <w:szCs w:val="26"/>
          <w:rtl/>
        </w:rPr>
        <w:t xml:space="preserve">, </w:t>
      </w:r>
      <w:proofErr w:type="spellStart"/>
      <w:r w:rsidRPr="007D2A72">
        <w:rPr>
          <w:rFonts w:ascii="David" w:hAnsi="David" w:cs="David"/>
          <w:bCs/>
          <w:kern w:val="0"/>
          <w:sz w:val="26"/>
          <w:szCs w:val="26"/>
          <w:rtl/>
        </w:rPr>
        <w:t>ר"ש</w:t>
      </w:r>
      <w:proofErr w:type="spellEnd"/>
      <w:r w:rsidRPr="007D2A72">
        <w:rPr>
          <w:rFonts w:ascii="David" w:hAnsi="David" w:cs="David"/>
          <w:bCs/>
          <w:kern w:val="0"/>
          <w:sz w:val="26"/>
          <w:szCs w:val="26"/>
          <w:rtl/>
        </w:rPr>
        <w:t xml:space="preserve"> ב"א אומר, אף משה ואהרן בחטאם מתו.</w:t>
      </w:r>
      <w:r w:rsidRPr="007D2A72">
        <w:rPr>
          <w:rFonts w:ascii="David" w:hAnsi="David" w:cs="David"/>
          <w:kern w:val="0"/>
          <w:sz w:val="26"/>
          <w:szCs w:val="26"/>
          <w:rtl/>
        </w:rPr>
        <w:t xml:space="preserve"> </w:t>
      </w:r>
    </w:p>
    <w:p w14:paraId="34B84335" w14:textId="77777777"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kern w:val="0"/>
          <w:sz w:val="26"/>
          <w:szCs w:val="26"/>
          <w:rtl/>
        </w:rPr>
        <w:t xml:space="preserve">א. </w:t>
      </w:r>
      <w:r w:rsidRPr="007D2A72">
        <w:rPr>
          <w:rFonts w:ascii="David" w:hAnsi="David" w:cs="David"/>
          <w:kern w:val="0"/>
          <w:sz w:val="26"/>
          <w:szCs w:val="26"/>
          <w:rtl/>
        </w:rPr>
        <w:t xml:space="preserve">אף שהוא דבר מוכרח שיש קישור כללי לנפש האדם הפרטית עם הנפש האנושית הכללית בחייה המוסריים, כמו </w:t>
      </w:r>
      <w:r w:rsidRPr="007D2A72">
        <w:rPr>
          <w:rFonts w:ascii="David" w:hAnsi="David" w:cs="David"/>
          <w:b/>
          <w:bCs/>
          <w:kern w:val="0"/>
          <w:sz w:val="26"/>
          <w:szCs w:val="26"/>
          <w:rtl/>
        </w:rPr>
        <w:t>שהוא מקושר ביתר מערכי המציאות המסבבים אותו</w:t>
      </w:r>
      <w:r w:rsidRPr="007D2A72">
        <w:rPr>
          <w:rFonts w:ascii="David" w:hAnsi="David" w:cs="David"/>
          <w:kern w:val="0"/>
          <w:sz w:val="26"/>
          <w:szCs w:val="26"/>
          <w:rtl/>
        </w:rPr>
        <w:t xml:space="preserve">, </w:t>
      </w:r>
      <w:proofErr w:type="spellStart"/>
      <w:r w:rsidRPr="007D2A72">
        <w:rPr>
          <w:rFonts w:ascii="David" w:hAnsi="David" w:cs="David"/>
          <w:kern w:val="0"/>
          <w:sz w:val="26"/>
          <w:szCs w:val="26"/>
          <w:rtl/>
        </w:rPr>
        <w:t>כחק</w:t>
      </w:r>
      <w:proofErr w:type="spellEnd"/>
      <w:r w:rsidRPr="007D2A72">
        <w:rPr>
          <w:rFonts w:ascii="David" w:hAnsi="David" w:cs="David"/>
          <w:kern w:val="0"/>
          <w:sz w:val="26"/>
          <w:szCs w:val="26"/>
          <w:rtl/>
        </w:rPr>
        <w:t xml:space="preserve"> מצוי </w:t>
      </w:r>
      <w:r w:rsidRPr="007D2A72">
        <w:rPr>
          <w:rFonts w:ascii="David" w:hAnsi="David" w:cs="David"/>
          <w:b/>
          <w:bCs/>
          <w:kern w:val="0"/>
          <w:sz w:val="26"/>
          <w:szCs w:val="26"/>
          <w:rtl/>
        </w:rPr>
        <w:t>שאינו נפרד מן הכלל</w:t>
      </w:r>
      <w:r w:rsidRPr="007D2A72">
        <w:rPr>
          <w:rFonts w:ascii="David" w:hAnsi="David" w:cs="David"/>
          <w:kern w:val="0"/>
          <w:sz w:val="26"/>
          <w:szCs w:val="26"/>
          <w:rtl/>
        </w:rPr>
        <w:t xml:space="preserve"> המקיפו, מ"מ הדבר מסופק עד כמה הבחירה </w:t>
      </w:r>
      <w:proofErr w:type="spellStart"/>
      <w:r w:rsidRPr="007D2A72">
        <w:rPr>
          <w:rFonts w:ascii="David" w:hAnsi="David" w:cs="David"/>
          <w:kern w:val="0"/>
          <w:sz w:val="26"/>
          <w:szCs w:val="26"/>
          <w:rtl/>
        </w:rPr>
        <w:t>החפשית</w:t>
      </w:r>
      <w:proofErr w:type="spellEnd"/>
      <w:r w:rsidRPr="007D2A72">
        <w:rPr>
          <w:rFonts w:ascii="David" w:hAnsi="David" w:cs="David"/>
          <w:kern w:val="0"/>
          <w:sz w:val="26"/>
          <w:szCs w:val="26"/>
          <w:rtl/>
        </w:rPr>
        <w:t xml:space="preserve"> שבאדם מגעת </w:t>
      </w:r>
      <w:proofErr w:type="spellStart"/>
      <w:r w:rsidRPr="007D2A72">
        <w:rPr>
          <w:rFonts w:ascii="David" w:hAnsi="David" w:cs="David"/>
          <w:kern w:val="0"/>
          <w:sz w:val="26"/>
          <w:szCs w:val="26"/>
          <w:rtl/>
        </w:rPr>
        <w:t>בכחה</w:t>
      </w:r>
      <w:proofErr w:type="spellEnd"/>
      <w:r w:rsidRPr="007D2A72">
        <w:rPr>
          <w:rFonts w:ascii="David" w:hAnsi="David" w:cs="David"/>
          <w:kern w:val="0"/>
          <w:sz w:val="26"/>
          <w:szCs w:val="26"/>
          <w:rtl/>
        </w:rPr>
        <w:t xml:space="preserve">. </w:t>
      </w:r>
    </w:p>
    <w:p w14:paraId="702C23AF" w14:textId="77777777" w:rsidR="002F721A" w:rsidRPr="007D2A72" w:rsidRDefault="002F721A" w:rsidP="002F721A">
      <w:pPr>
        <w:autoSpaceDE w:val="0"/>
        <w:autoSpaceDN w:val="0"/>
        <w:adjustRightInd w:val="0"/>
        <w:spacing w:after="0" w:line="240" w:lineRule="auto"/>
        <w:rPr>
          <w:rFonts w:ascii="David" w:hAnsi="David" w:cs="David"/>
          <w:kern w:val="0"/>
          <w:sz w:val="26"/>
          <w:szCs w:val="26"/>
          <w:rtl/>
        </w:rPr>
      </w:pPr>
    </w:p>
    <w:p w14:paraId="33A391D7" w14:textId="77777777"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kern w:val="0"/>
          <w:sz w:val="26"/>
          <w:szCs w:val="26"/>
          <w:rtl/>
        </w:rPr>
        <w:t xml:space="preserve">ב. </w:t>
      </w:r>
      <w:r w:rsidRPr="007D2A72">
        <w:rPr>
          <w:rFonts w:ascii="David" w:hAnsi="David" w:cs="David"/>
          <w:kern w:val="0"/>
          <w:sz w:val="26"/>
          <w:szCs w:val="26"/>
          <w:rtl/>
        </w:rPr>
        <w:t xml:space="preserve">ולעומת מה שמ"ד יש מיתה בלא חטא </w:t>
      </w:r>
      <w:proofErr w:type="spellStart"/>
      <w:r w:rsidRPr="007D2A72">
        <w:rPr>
          <w:rFonts w:ascii="David" w:hAnsi="David" w:cs="David"/>
          <w:kern w:val="0"/>
          <w:sz w:val="26"/>
          <w:szCs w:val="26"/>
          <w:rtl/>
        </w:rPr>
        <w:t>ס"ל</w:t>
      </w:r>
      <w:proofErr w:type="spellEnd"/>
      <w:r w:rsidRPr="007D2A72">
        <w:rPr>
          <w:rFonts w:ascii="David" w:hAnsi="David" w:cs="David"/>
          <w:kern w:val="0"/>
          <w:sz w:val="26"/>
          <w:szCs w:val="26"/>
          <w:rtl/>
        </w:rPr>
        <w:t xml:space="preserve"> שאין היכולת באדם, אפילו היותר שלם בצדקו </w:t>
      </w:r>
      <w:proofErr w:type="spellStart"/>
      <w:r w:rsidRPr="007D2A72">
        <w:rPr>
          <w:rFonts w:ascii="David" w:hAnsi="David" w:cs="David"/>
          <w:kern w:val="0"/>
          <w:sz w:val="26"/>
          <w:szCs w:val="26"/>
          <w:rtl/>
        </w:rPr>
        <w:t>וחכמתו</w:t>
      </w:r>
      <w:proofErr w:type="spellEnd"/>
      <w:r w:rsidRPr="007D2A72">
        <w:rPr>
          <w:rFonts w:ascii="David" w:hAnsi="David" w:cs="David"/>
          <w:kern w:val="0"/>
          <w:sz w:val="26"/>
          <w:szCs w:val="26"/>
          <w:rtl/>
        </w:rPr>
        <w:t xml:space="preserve">, </w:t>
      </w:r>
      <w:proofErr w:type="spellStart"/>
      <w:r w:rsidRPr="007D2A72">
        <w:rPr>
          <w:rFonts w:ascii="David" w:hAnsi="David" w:cs="David"/>
          <w:kern w:val="0"/>
          <w:sz w:val="26"/>
          <w:szCs w:val="26"/>
          <w:rtl/>
        </w:rPr>
        <w:t>להנשא</w:t>
      </w:r>
      <w:proofErr w:type="spellEnd"/>
      <w:r w:rsidRPr="007D2A72">
        <w:rPr>
          <w:rFonts w:ascii="David" w:hAnsi="David" w:cs="David"/>
          <w:kern w:val="0"/>
          <w:sz w:val="26"/>
          <w:szCs w:val="26"/>
          <w:rtl/>
        </w:rPr>
        <w:t xml:space="preserve"> מעל לאותה ההשפלה הכוללת שחטא האדם הכללי הטביע בה את הנפש האנושית, שע"כ </w:t>
      </w:r>
      <w:r w:rsidRPr="007D2A72">
        <w:rPr>
          <w:rFonts w:ascii="David" w:hAnsi="David" w:cs="David"/>
          <w:b/>
          <w:bCs/>
          <w:kern w:val="0"/>
          <w:sz w:val="26"/>
          <w:szCs w:val="26"/>
          <w:rtl/>
        </w:rPr>
        <w:t>המיתה מוכרחת היא</w:t>
      </w:r>
      <w:r w:rsidRPr="007D2A72">
        <w:rPr>
          <w:rFonts w:ascii="David" w:hAnsi="David" w:cs="David"/>
          <w:kern w:val="0"/>
          <w:sz w:val="26"/>
          <w:szCs w:val="26"/>
          <w:rtl/>
        </w:rPr>
        <w:t xml:space="preserve"> כדי לתן מקום ליצירת הצורה היותר עליונה בהתחדש כחומר חותם </w:t>
      </w:r>
      <w:r w:rsidRPr="007D2A72">
        <w:rPr>
          <w:rFonts w:ascii="David" w:hAnsi="David" w:cs="David"/>
          <w:kern w:val="0"/>
          <w:sz w:val="26"/>
          <w:szCs w:val="26"/>
          <w:rtl/>
        </w:rPr>
        <w:t>(</w:t>
      </w:r>
      <w:r w:rsidRPr="007D2A72">
        <w:rPr>
          <w:rFonts w:ascii="David" w:hAnsi="David" w:cs="David"/>
          <w:kern w:val="0"/>
          <w:sz w:val="26"/>
          <w:szCs w:val="26"/>
          <w:rtl/>
        </w:rPr>
        <w:t>איוב לח, יד</w:t>
      </w:r>
      <w:r w:rsidRPr="007D2A72">
        <w:rPr>
          <w:rFonts w:ascii="David" w:hAnsi="David" w:cs="David"/>
          <w:kern w:val="0"/>
          <w:sz w:val="26"/>
          <w:szCs w:val="26"/>
          <w:rtl/>
        </w:rPr>
        <w:t>)</w:t>
      </w:r>
      <w:r w:rsidRPr="007D2A72">
        <w:rPr>
          <w:rFonts w:ascii="David" w:hAnsi="David" w:cs="David"/>
          <w:kern w:val="0"/>
          <w:sz w:val="26"/>
          <w:szCs w:val="26"/>
          <w:rtl/>
        </w:rPr>
        <w:t xml:space="preserve">, לעומת זה </w:t>
      </w:r>
      <w:proofErr w:type="spellStart"/>
      <w:r w:rsidRPr="007D2A72">
        <w:rPr>
          <w:rFonts w:ascii="David" w:hAnsi="David" w:cs="David"/>
          <w:kern w:val="0"/>
          <w:sz w:val="26"/>
          <w:szCs w:val="26"/>
          <w:rtl/>
        </w:rPr>
        <w:t>ס"ל</w:t>
      </w:r>
      <w:proofErr w:type="spellEnd"/>
      <w:r w:rsidRPr="007D2A72">
        <w:rPr>
          <w:rFonts w:ascii="David" w:hAnsi="David" w:cs="David"/>
          <w:kern w:val="0"/>
          <w:sz w:val="26"/>
          <w:szCs w:val="26"/>
          <w:rtl/>
        </w:rPr>
        <w:t xml:space="preserve"> האי תנא </w:t>
      </w:r>
      <w:proofErr w:type="spellStart"/>
      <w:r w:rsidRPr="007D2A72">
        <w:rPr>
          <w:rFonts w:ascii="David" w:hAnsi="David" w:cs="David"/>
          <w:b/>
          <w:bCs/>
          <w:kern w:val="0"/>
          <w:sz w:val="26"/>
          <w:szCs w:val="26"/>
          <w:rtl/>
        </w:rPr>
        <w:t>דהבחירה</w:t>
      </w:r>
      <w:proofErr w:type="spellEnd"/>
      <w:r w:rsidRPr="007D2A72">
        <w:rPr>
          <w:rFonts w:ascii="David" w:hAnsi="David" w:cs="David"/>
          <w:b/>
          <w:bCs/>
          <w:kern w:val="0"/>
          <w:sz w:val="26"/>
          <w:szCs w:val="26"/>
          <w:rtl/>
        </w:rPr>
        <w:t xml:space="preserve"> היא כ"כ </w:t>
      </w:r>
      <w:proofErr w:type="spellStart"/>
      <w:r w:rsidRPr="007D2A72">
        <w:rPr>
          <w:rFonts w:ascii="David" w:hAnsi="David" w:cs="David"/>
          <w:b/>
          <w:bCs/>
          <w:kern w:val="0"/>
          <w:sz w:val="26"/>
          <w:szCs w:val="26"/>
          <w:rtl/>
        </w:rPr>
        <w:t>חפשית</w:t>
      </w:r>
      <w:proofErr w:type="spellEnd"/>
      <w:r w:rsidRPr="007D2A72">
        <w:rPr>
          <w:rFonts w:ascii="David" w:hAnsi="David" w:cs="David"/>
          <w:kern w:val="0"/>
          <w:sz w:val="26"/>
          <w:szCs w:val="26"/>
          <w:rtl/>
        </w:rPr>
        <w:t xml:space="preserve">, עד שהאדם הפרטי </w:t>
      </w:r>
      <w:r w:rsidRPr="007D2A72">
        <w:rPr>
          <w:rFonts w:ascii="David" w:hAnsi="David" w:cs="David"/>
          <w:b/>
          <w:bCs/>
          <w:kern w:val="0"/>
          <w:sz w:val="26"/>
          <w:szCs w:val="26"/>
          <w:rtl/>
        </w:rPr>
        <w:t>יכול</w:t>
      </w:r>
      <w:r w:rsidRPr="007D2A72">
        <w:rPr>
          <w:rFonts w:ascii="David" w:hAnsi="David" w:cs="David"/>
          <w:kern w:val="0"/>
          <w:sz w:val="26"/>
          <w:szCs w:val="26"/>
          <w:rtl/>
        </w:rPr>
        <w:t xml:space="preserve"> לרומם עצמו ממעל לכל ההשפלה הכוללת, וללכת הלאה מעל כל גבול של כל החסרונות המוטבעים בנפש האנושית בכללותה. </w:t>
      </w:r>
    </w:p>
    <w:p w14:paraId="2665290A" w14:textId="77777777" w:rsidR="002F721A" w:rsidRPr="007D2A72" w:rsidRDefault="002F721A" w:rsidP="002F721A">
      <w:pPr>
        <w:autoSpaceDE w:val="0"/>
        <w:autoSpaceDN w:val="0"/>
        <w:adjustRightInd w:val="0"/>
        <w:spacing w:after="0" w:line="240" w:lineRule="auto"/>
        <w:rPr>
          <w:rFonts w:ascii="David" w:hAnsi="David" w:cs="David"/>
          <w:kern w:val="0"/>
          <w:sz w:val="26"/>
          <w:szCs w:val="26"/>
          <w:rtl/>
        </w:rPr>
      </w:pPr>
    </w:p>
    <w:p w14:paraId="52471DAF" w14:textId="77777777"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kern w:val="0"/>
          <w:sz w:val="26"/>
          <w:szCs w:val="26"/>
          <w:rtl/>
        </w:rPr>
        <w:t xml:space="preserve">ג. </w:t>
      </w:r>
      <w:r w:rsidRPr="007D2A72">
        <w:rPr>
          <w:rFonts w:ascii="David" w:hAnsi="David" w:cs="David"/>
          <w:kern w:val="0"/>
          <w:sz w:val="26"/>
          <w:szCs w:val="26"/>
          <w:rtl/>
        </w:rPr>
        <w:t xml:space="preserve">וע"כ, אם באמת כה יתרומם, אזי </w:t>
      </w:r>
      <w:r w:rsidRPr="007D2A72">
        <w:rPr>
          <w:rFonts w:ascii="David" w:hAnsi="David" w:cs="David"/>
          <w:b/>
          <w:bCs/>
          <w:kern w:val="0"/>
          <w:sz w:val="26"/>
          <w:szCs w:val="26"/>
          <w:rtl/>
        </w:rPr>
        <w:t>ישתלם בתכלית</w:t>
      </w:r>
      <w:r w:rsidRPr="007D2A72">
        <w:rPr>
          <w:rFonts w:ascii="David" w:hAnsi="David" w:cs="David"/>
          <w:kern w:val="0"/>
          <w:sz w:val="26"/>
          <w:szCs w:val="26"/>
          <w:rtl/>
        </w:rPr>
        <w:t xml:space="preserve"> המעלה, עד שאותו הגרעון שבשבילו המיתה נועדת להעבירו מן העולם כדי להשלים צורת יצור יותר נשגב ועליון, אין לו מקום (בשלם) בתכלית </w:t>
      </w:r>
      <w:r w:rsidRPr="007D2A72">
        <w:rPr>
          <w:rFonts w:ascii="David" w:hAnsi="David" w:cs="David"/>
          <w:b/>
          <w:bCs/>
          <w:kern w:val="0"/>
          <w:sz w:val="26"/>
          <w:szCs w:val="26"/>
          <w:rtl/>
        </w:rPr>
        <w:t>שהוציא לאור</w:t>
      </w:r>
      <w:r w:rsidRPr="007D2A72">
        <w:rPr>
          <w:rFonts w:ascii="David" w:hAnsi="David" w:cs="David"/>
          <w:kern w:val="0"/>
          <w:sz w:val="26"/>
          <w:szCs w:val="26"/>
          <w:rtl/>
        </w:rPr>
        <w:t xml:space="preserve"> את כל בחירתו. וסבת המיתה היא אמנם מפני שלא הוציא שום אדם את הבחירה באופן עליון כזה, אבל היכולת ע"ז נמצאת בטבע של חופש הבחירה. </w:t>
      </w:r>
    </w:p>
    <w:p w14:paraId="052DFFDA" w14:textId="77777777" w:rsidR="002F721A" w:rsidRPr="007D2A72" w:rsidRDefault="002F721A" w:rsidP="002F721A">
      <w:pPr>
        <w:autoSpaceDE w:val="0"/>
        <w:autoSpaceDN w:val="0"/>
        <w:adjustRightInd w:val="0"/>
        <w:spacing w:after="0" w:line="240" w:lineRule="auto"/>
        <w:rPr>
          <w:rFonts w:ascii="David" w:hAnsi="David" w:cs="David"/>
          <w:kern w:val="0"/>
          <w:sz w:val="26"/>
          <w:szCs w:val="26"/>
          <w:rtl/>
        </w:rPr>
      </w:pPr>
    </w:p>
    <w:p w14:paraId="486431B9" w14:textId="3E875ABD"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kern w:val="0"/>
          <w:sz w:val="26"/>
          <w:szCs w:val="26"/>
          <w:rtl/>
        </w:rPr>
        <w:t xml:space="preserve">ד. </w:t>
      </w:r>
      <w:r w:rsidRPr="007D2A72">
        <w:rPr>
          <w:rFonts w:ascii="David" w:hAnsi="David" w:cs="David"/>
          <w:kern w:val="0"/>
          <w:sz w:val="26"/>
          <w:szCs w:val="26"/>
          <w:rtl/>
        </w:rPr>
        <w:t xml:space="preserve">וע"כ </w:t>
      </w:r>
      <w:proofErr w:type="spellStart"/>
      <w:r w:rsidRPr="007D2A72">
        <w:rPr>
          <w:rFonts w:ascii="David" w:hAnsi="David" w:cs="David"/>
          <w:kern w:val="0"/>
          <w:sz w:val="26"/>
          <w:szCs w:val="26"/>
          <w:rtl/>
        </w:rPr>
        <w:t>ס"ל</w:t>
      </w:r>
      <w:proofErr w:type="spellEnd"/>
      <w:r w:rsidRPr="007D2A72">
        <w:rPr>
          <w:rFonts w:ascii="David" w:hAnsi="David" w:cs="David"/>
          <w:kern w:val="0"/>
          <w:sz w:val="26"/>
          <w:szCs w:val="26"/>
          <w:rtl/>
        </w:rPr>
        <w:t xml:space="preserve"> </w:t>
      </w:r>
      <w:proofErr w:type="spellStart"/>
      <w:r w:rsidRPr="007D2A72">
        <w:rPr>
          <w:rFonts w:ascii="David" w:hAnsi="David" w:cs="David"/>
          <w:kern w:val="0"/>
          <w:sz w:val="26"/>
          <w:szCs w:val="26"/>
          <w:rtl/>
        </w:rPr>
        <w:t>דאפי</w:t>
      </w:r>
      <w:proofErr w:type="spellEnd"/>
      <w:r w:rsidRPr="007D2A72">
        <w:rPr>
          <w:rFonts w:ascii="David" w:hAnsi="David" w:cs="David"/>
          <w:kern w:val="0"/>
          <w:sz w:val="26"/>
          <w:szCs w:val="26"/>
          <w:rtl/>
        </w:rPr>
        <w:t xml:space="preserve">' </w:t>
      </w:r>
      <w:r w:rsidRPr="007D2A72">
        <w:rPr>
          <w:rFonts w:ascii="David" w:hAnsi="David" w:cs="David"/>
          <w:bCs/>
          <w:kern w:val="0"/>
          <w:sz w:val="26"/>
          <w:szCs w:val="26"/>
          <w:rtl/>
        </w:rPr>
        <w:t>משה ואהרן בחטאם מתו</w:t>
      </w:r>
      <w:r w:rsidRPr="007D2A72">
        <w:rPr>
          <w:rFonts w:ascii="David" w:hAnsi="David" w:cs="David"/>
          <w:kern w:val="0"/>
          <w:sz w:val="26"/>
          <w:szCs w:val="26"/>
          <w:rtl/>
        </w:rPr>
        <w:t xml:space="preserve">, אבל יד בחירתם, לפי רוממות ערכם </w:t>
      </w:r>
      <w:r w:rsidRPr="007D2A72">
        <w:rPr>
          <w:rFonts w:ascii="David" w:hAnsi="David" w:cs="David"/>
          <w:b/>
          <w:bCs/>
          <w:kern w:val="0"/>
          <w:sz w:val="26"/>
          <w:szCs w:val="26"/>
          <w:rtl/>
        </w:rPr>
        <w:t>לולא זה החטא</w:t>
      </w:r>
      <w:r w:rsidRPr="007D2A72">
        <w:rPr>
          <w:rFonts w:ascii="David" w:hAnsi="David" w:cs="David"/>
          <w:kern w:val="0"/>
          <w:sz w:val="26"/>
          <w:szCs w:val="26"/>
          <w:rtl/>
        </w:rPr>
        <w:t xml:space="preserve">, </w:t>
      </w:r>
      <w:proofErr w:type="spellStart"/>
      <w:r w:rsidRPr="007D2A72">
        <w:rPr>
          <w:rFonts w:ascii="David" w:hAnsi="David" w:cs="David"/>
          <w:kern w:val="0"/>
          <w:sz w:val="26"/>
          <w:szCs w:val="26"/>
          <w:rtl/>
        </w:rPr>
        <w:t>היתה</w:t>
      </w:r>
      <w:proofErr w:type="spellEnd"/>
      <w:r w:rsidRPr="007D2A72">
        <w:rPr>
          <w:rFonts w:ascii="David" w:hAnsi="David" w:cs="David"/>
          <w:kern w:val="0"/>
          <w:sz w:val="26"/>
          <w:szCs w:val="26"/>
          <w:rtl/>
        </w:rPr>
        <w:t xml:space="preserve"> </w:t>
      </w:r>
      <w:r w:rsidRPr="007D2A72">
        <w:rPr>
          <w:rFonts w:ascii="David" w:hAnsi="David" w:cs="David"/>
          <w:b/>
          <w:bCs/>
          <w:kern w:val="0"/>
          <w:sz w:val="26"/>
          <w:szCs w:val="26"/>
          <w:rtl/>
        </w:rPr>
        <w:t>יכולה</w:t>
      </w:r>
      <w:r w:rsidRPr="007D2A72">
        <w:rPr>
          <w:rFonts w:ascii="David" w:hAnsi="David" w:cs="David"/>
          <w:kern w:val="0"/>
          <w:sz w:val="26"/>
          <w:szCs w:val="26"/>
          <w:rtl/>
        </w:rPr>
        <w:t xml:space="preserve"> להגיע עד למ</w:t>
      </w:r>
      <w:r w:rsidR="007D2A72">
        <w:rPr>
          <w:rFonts w:ascii="David" w:hAnsi="David" w:cs="David" w:hint="cs"/>
          <w:kern w:val="0"/>
          <w:sz w:val="26"/>
          <w:szCs w:val="26"/>
          <w:rtl/>
        </w:rPr>
        <w:t>ִ</w:t>
      </w:r>
      <w:r w:rsidRPr="007D2A72">
        <w:rPr>
          <w:rFonts w:ascii="David" w:hAnsi="David" w:cs="David"/>
          <w:kern w:val="0"/>
          <w:sz w:val="26"/>
          <w:szCs w:val="26"/>
          <w:rtl/>
        </w:rPr>
        <w:t xml:space="preserve">דה עליונה זו של מעמד היצור היותר עליון, שהמיתה </w:t>
      </w:r>
      <w:r w:rsidRPr="007D2A72">
        <w:rPr>
          <w:rFonts w:ascii="David" w:hAnsi="David" w:cs="David"/>
          <w:b/>
          <w:bCs/>
          <w:kern w:val="0"/>
          <w:sz w:val="26"/>
          <w:szCs w:val="26"/>
          <w:rtl/>
        </w:rPr>
        <w:t>הנהוגה</w:t>
      </w:r>
      <w:r w:rsidRPr="007D2A72">
        <w:rPr>
          <w:rFonts w:ascii="David" w:hAnsi="David" w:cs="David"/>
          <w:kern w:val="0"/>
          <w:sz w:val="26"/>
          <w:szCs w:val="26"/>
          <w:rtl/>
        </w:rPr>
        <w:t xml:space="preserve"> היא מעבר להבאתו לעולם ע"י חידוש פני אדמה של </w:t>
      </w:r>
      <w:r w:rsidRPr="005621F0">
        <w:rPr>
          <w:rFonts w:ascii="David" w:hAnsi="David" w:cs="David"/>
          <w:b/>
          <w:bCs/>
          <w:kern w:val="0"/>
          <w:sz w:val="26"/>
          <w:szCs w:val="26"/>
          <w:rtl/>
        </w:rPr>
        <w:t>תחיית המתים</w:t>
      </w:r>
      <w:r w:rsidRPr="007D2A72">
        <w:rPr>
          <w:rFonts w:ascii="David" w:hAnsi="David" w:cs="David"/>
          <w:kern w:val="0"/>
          <w:sz w:val="26"/>
          <w:szCs w:val="26"/>
          <w:rtl/>
        </w:rPr>
        <w:t xml:space="preserve">. </w:t>
      </w:r>
    </w:p>
    <w:p w14:paraId="5B252D29" w14:textId="54E9A9AD" w:rsidR="002F721A" w:rsidRPr="007D2A72" w:rsidRDefault="002F721A" w:rsidP="002F721A">
      <w:pPr>
        <w:autoSpaceDE w:val="0"/>
        <w:autoSpaceDN w:val="0"/>
        <w:adjustRightInd w:val="0"/>
        <w:spacing w:after="0" w:line="240" w:lineRule="auto"/>
        <w:rPr>
          <w:rFonts w:ascii="David" w:hAnsi="David" w:cs="David"/>
          <w:kern w:val="0"/>
          <w:sz w:val="26"/>
          <w:szCs w:val="26"/>
          <w:rtl/>
        </w:rPr>
      </w:pPr>
      <w:r w:rsidRPr="007D2A72">
        <w:rPr>
          <w:rFonts w:ascii="David" w:hAnsi="David" w:cs="David"/>
          <w:kern w:val="0"/>
          <w:sz w:val="26"/>
          <w:szCs w:val="26"/>
          <w:rtl/>
        </w:rPr>
        <w:t xml:space="preserve"> </w:t>
      </w:r>
    </w:p>
    <w:p w14:paraId="33DE65C1" w14:textId="0623F395" w:rsidR="00642934" w:rsidRPr="007D2A72" w:rsidRDefault="007D2A72" w:rsidP="00642934">
      <w:pPr>
        <w:ind w:right="-142"/>
        <w:rPr>
          <w:rFonts w:ascii="David" w:hAnsi="David" w:cs="David"/>
          <w:b/>
          <w:bCs/>
          <w:sz w:val="26"/>
          <w:szCs w:val="26"/>
        </w:rPr>
      </w:pPr>
      <w:r w:rsidRPr="007D2A72">
        <w:rPr>
          <w:rFonts w:ascii="David" w:hAnsi="David" w:cs="David"/>
          <w:b/>
          <w:bCs/>
          <w:sz w:val="26"/>
          <w:szCs w:val="26"/>
          <w:rtl/>
        </w:rPr>
        <w:t xml:space="preserve">2. </w:t>
      </w:r>
      <w:r w:rsidR="00642934" w:rsidRPr="007D2A72">
        <w:rPr>
          <w:rFonts w:ascii="David" w:hAnsi="David" w:cs="David"/>
          <w:b/>
          <w:bCs/>
          <w:sz w:val="26"/>
          <w:szCs w:val="26"/>
          <w:rtl/>
        </w:rPr>
        <w:t>רמב"ם הלכות תשובה, פרק ז, א, ו</w:t>
      </w:r>
    </w:p>
    <w:p w14:paraId="75F27154" w14:textId="536C879D" w:rsidR="00642934" w:rsidRPr="007D2A72" w:rsidRDefault="00642934" w:rsidP="00642934">
      <w:pPr>
        <w:ind w:right="-142"/>
        <w:rPr>
          <w:rFonts w:ascii="David" w:hAnsi="David" w:cs="David"/>
          <w:sz w:val="26"/>
          <w:szCs w:val="26"/>
          <w:rtl/>
        </w:rPr>
      </w:pPr>
      <w:r w:rsidRPr="007D2A72">
        <w:rPr>
          <w:rFonts w:ascii="David" w:hAnsi="David" w:cs="David"/>
          <w:sz w:val="26"/>
          <w:szCs w:val="26"/>
          <w:rtl/>
        </w:rPr>
        <w:t xml:space="preserve">א. הואיל ורשות כל אדם נתונה לו כמו שבארנו ישתדל אדם לעשות תשובה </w:t>
      </w:r>
      <w:proofErr w:type="spellStart"/>
      <w:r w:rsidRPr="007D2A72">
        <w:rPr>
          <w:rFonts w:ascii="David" w:hAnsi="David" w:cs="David"/>
          <w:sz w:val="26"/>
          <w:szCs w:val="26"/>
          <w:rtl/>
        </w:rPr>
        <w:t>ולהתודות</w:t>
      </w:r>
      <w:proofErr w:type="spellEnd"/>
      <w:r w:rsidRPr="007D2A72">
        <w:rPr>
          <w:rFonts w:ascii="David" w:hAnsi="David" w:cs="David"/>
          <w:sz w:val="26"/>
          <w:szCs w:val="26"/>
          <w:rtl/>
        </w:rPr>
        <w:t xml:space="preserve"> בפיו מחטאיו ולנעור כפיו מחטאיו כדי שימות והוא בעל תשובה ויזכה לחיי העולם הבא. ו. כל הנביאים כולן צוו על התשובה ואין ישראל </w:t>
      </w:r>
      <w:proofErr w:type="spellStart"/>
      <w:r w:rsidRPr="007D2A72">
        <w:rPr>
          <w:rFonts w:ascii="David" w:hAnsi="David" w:cs="David"/>
          <w:sz w:val="26"/>
          <w:szCs w:val="26"/>
          <w:rtl/>
        </w:rPr>
        <w:t>נגאלין</w:t>
      </w:r>
      <w:proofErr w:type="spellEnd"/>
      <w:r w:rsidRPr="007D2A72">
        <w:rPr>
          <w:rFonts w:ascii="David" w:hAnsi="David" w:cs="David"/>
          <w:sz w:val="26"/>
          <w:szCs w:val="26"/>
          <w:rtl/>
        </w:rPr>
        <w:t xml:space="preserve"> אלא בתשובה, וכבר </w:t>
      </w:r>
      <w:r w:rsidRPr="007D2A72">
        <w:rPr>
          <w:rFonts w:ascii="David" w:hAnsi="David" w:cs="David"/>
          <w:b/>
          <w:bCs/>
          <w:sz w:val="26"/>
          <w:szCs w:val="26"/>
          <w:rtl/>
        </w:rPr>
        <w:t>הבטיחה</w:t>
      </w:r>
      <w:r w:rsidRPr="007D2A72">
        <w:rPr>
          <w:rFonts w:ascii="David" w:hAnsi="David" w:cs="David"/>
          <w:sz w:val="26"/>
          <w:szCs w:val="26"/>
          <w:rtl/>
        </w:rPr>
        <w:t xml:space="preserve"> תורה שסוף ישראל לעשות תשובה בסוף גלותן ומיד הן </w:t>
      </w:r>
      <w:proofErr w:type="spellStart"/>
      <w:r w:rsidRPr="007D2A72">
        <w:rPr>
          <w:rFonts w:ascii="David" w:hAnsi="David" w:cs="David"/>
          <w:sz w:val="26"/>
          <w:szCs w:val="26"/>
          <w:rtl/>
        </w:rPr>
        <w:t>נגאלין</w:t>
      </w:r>
      <w:proofErr w:type="spellEnd"/>
      <w:r w:rsidRPr="007D2A72">
        <w:rPr>
          <w:rFonts w:ascii="David" w:hAnsi="David" w:cs="David"/>
          <w:sz w:val="26"/>
          <w:szCs w:val="26"/>
          <w:rtl/>
        </w:rPr>
        <w:t xml:space="preserve"> שנאמר והיה כי יבאו עליך כל הדברים וגו' ושבת עד ה' </w:t>
      </w:r>
      <w:proofErr w:type="spellStart"/>
      <w:r w:rsidRPr="007D2A72">
        <w:rPr>
          <w:rFonts w:ascii="David" w:hAnsi="David" w:cs="David"/>
          <w:sz w:val="26"/>
          <w:szCs w:val="26"/>
          <w:rtl/>
        </w:rPr>
        <w:t>אלהיך</w:t>
      </w:r>
      <w:proofErr w:type="spellEnd"/>
      <w:r w:rsidRPr="007D2A72">
        <w:rPr>
          <w:rFonts w:ascii="David" w:hAnsi="David" w:cs="David"/>
          <w:sz w:val="26"/>
          <w:szCs w:val="26"/>
          <w:rtl/>
        </w:rPr>
        <w:t xml:space="preserve"> ושב ה' </w:t>
      </w:r>
      <w:proofErr w:type="spellStart"/>
      <w:r w:rsidRPr="007D2A72">
        <w:rPr>
          <w:rFonts w:ascii="David" w:hAnsi="David" w:cs="David"/>
          <w:sz w:val="26"/>
          <w:szCs w:val="26"/>
          <w:rtl/>
        </w:rPr>
        <w:t>אלהיך</w:t>
      </w:r>
      <w:proofErr w:type="spellEnd"/>
      <w:r w:rsidRPr="007D2A72">
        <w:rPr>
          <w:rFonts w:ascii="David" w:hAnsi="David" w:cs="David"/>
          <w:sz w:val="26"/>
          <w:szCs w:val="26"/>
          <w:rtl/>
        </w:rPr>
        <w:t xml:space="preserve"> וגו'.</w:t>
      </w:r>
    </w:p>
    <w:p w14:paraId="70F2AA02" w14:textId="6E4960BC" w:rsidR="00642934" w:rsidRPr="007D2A72" w:rsidRDefault="007D2A72" w:rsidP="00642934">
      <w:pPr>
        <w:ind w:right="-142"/>
        <w:rPr>
          <w:rFonts w:ascii="David" w:hAnsi="David" w:cs="David"/>
          <w:sz w:val="26"/>
          <w:szCs w:val="26"/>
          <w:rtl/>
        </w:rPr>
      </w:pPr>
      <w:r w:rsidRPr="007D2A72">
        <w:rPr>
          <w:rFonts w:ascii="David" w:hAnsi="David" w:cs="David"/>
          <w:sz w:val="26"/>
          <w:szCs w:val="26"/>
          <w:rtl/>
        </w:rPr>
        <w:t>3.</w:t>
      </w:r>
      <w:r w:rsidR="00642934" w:rsidRPr="007D2A72">
        <w:rPr>
          <w:rFonts w:ascii="David" w:hAnsi="David" w:cs="David"/>
          <w:sz w:val="26"/>
          <w:szCs w:val="26"/>
          <w:rtl/>
        </w:rPr>
        <w:t xml:space="preserve"> </w:t>
      </w:r>
      <w:r w:rsidR="00642934" w:rsidRPr="007D2A72">
        <w:rPr>
          <w:rFonts w:ascii="David" w:hAnsi="David" w:cs="David"/>
          <w:b/>
          <w:bCs/>
          <w:sz w:val="26"/>
          <w:szCs w:val="26"/>
          <w:rtl/>
        </w:rPr>
        <w:t>רמב"ם הלכות תשובה, פרק ה הלכה א - רשות לכל אדם נתונה</w:t>
      </w:r>
      <w:r w:rsidR="00642934" w:rsidRPr="007D2A72">
        <w:rPr>
          <w:rFonts w:ascii="David" w:hAnsi="David" w:cs="David"/>
          <w:sz w:val="26"/>
          <w:szCs w:val="26"/>
          <w:rtl/>
        </w:rPr>
        <w:t xml:space="preserve">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w:t>
      </w:r>
      <w:r w:rsidR="00642934" w:rsidRPr="007D2A72">
        <w:rPr>
          <w:rFonts w:ascii="David" w:hAnsi="David" w:cs="David"/>
          <w:b/>
          <w:bCs/>
          <w:sz w:val="26"/>
          <w:szCs w:val="26"/>
          <w:rtl/>
        </w:rPr>
        <w:t>יחיד בעולם</w:t>
      </w:r>
      <w:r w:rsidR="00642934" w:rsidRPr="007D2A72">
        <w:rPr>
          <w:rFonts w:ascii="David" w:hAnsi="David" w:cs="David"/>
          <w:sz w:val="26"/>
          <w:szCs w:val="26"/>
          <w:rtl/>
        </w:rPr>
        <w:t xml:space="preserve"> ואין מין שני דומה לו בזה </w:t>
      </w:r>
      <w:proofErr w:type="spellStart"/>
      <w:r w:rsidR="00642934" w:rsidRPr="007D2A72">
        <w:rPr>
          <w:rFonts w:ascii="David" w:hAnsi="David" w:cs="David"/>
          <w:sz w:val="26"/>
          <w:szCs w:val="26"/>
          <w:rtl/>
        </w:rPr>
        <w:t>הענין</w:t>
      </w:r>
      <w:proofErr w:type="spellEnd"/>
      <w:r w:rsidR="00642934" w:rsidRPr="007D2A72">
        <w:rPr>
          <w:rFonts w:ascii="David" w:hAnsi="David" w:cs="David"/>
          <w:sz w:val="26"/>
          <w:szCs w:val="26"/>
          <w:rtl/>
        </w:rPr>
        <w:t xml:space="preserve"> שיהא הוא מעצמו בדעתו ובמחשבתו יודע הטוב והרע ועושה כל מה שהוא חפץ ואין מי שיעכב בידו מלעשות הטוב או הרע וכיון שכן הוא פן ישלח ידו.</w:t>
      </w:r>
    </w:p>
    <w:p w14:paraId="38214F8E" w14:textId="5A7B4CEC" w:rsidR="00642934" w:rsidRPr="007D2A72" w:rsidRDefault="00642934" w:rsidP="00642934">
      <w:pPr>
        <w:ind w:right="-142"/>
        <w:rPr>
          <w:rFonts w:ascii="David" w:hAnsi="David" w:cs="David"/>
          <w:sz w:val="26"/>
          <w:szCs w:val="26"/>
          <w:rtl/>
        </w:rPr>
      </w:pPr>
      <w:r w:rsidRPr="007D2A72">
        <w:rPr>
          <w:rFonts w:ascii="David" w:hAnsi="David" w:cs="David"/>
          <w:b/>
          <w:bCs/>
          <w:sz w:val="26"/>
          <w:szCs w:val="26"/>
          <w:rtl/>
        </w:rPr>
        <w:t xml:space="preserve">ב. </w:t>
      </w:r>
      <w:r w:rsidRPr="007D2A72">
        <w:rPr>
          <w:rFonts w:ascii="David" w:hAnsi="David" w:cs="David"/>
          <w:sz w:val="26"/>
          <w:szCs w:val="26"/>
          <w:rtl/>
        </w:rPr>
        <w:t xml:space="preserve">אל יעבור במחשבתך דבר זה שאומרים </w:t>
      </w:r>
      <w:proofErr w:type="spellStart"/>
      <w:r w:rsidRPr="007D2A72">
        <w:rPr>
          <w:rFonts w:ascii="David" w:hAnsi="David" w:cs="David"/>
          <w:sz w:val="26"/>
          <w:szCs w:val="26"/>
          <w:rtl/>
        </w:rPr>
        <w:t>טפשי</w:t>
      </w:r>
      <w:proofErr w:type="spellEnd"/>
      <w:r w:rsidRPr="007D2A72">
        <w:rPr>
          <w:rFonts w:ascii="David" w:hAnsi="David" w:cs="David"/>
          <w:sz w:val="26"/>
          <w:szCs w:val="26"/>
          <w:rtl/>
        </w:rPr>
        <w:t xml:space="preserve"> </w:t>
      </w:r>
      <w:proofErr w:type="spellStart"/>
      <w:r w:rsidRPr="007D2A72">
        <w:rPr>
          <w:rFonts w:ascii="David" w:hAnsi="David" w:cs="David"/>
          <w:sz w:val="26"/>
          <w:szCs w:val="26"/>
          <w:rtl/>
        </w:rPr>
        <w:t>אומה"ע</w:t>
      </w:r>
      <w:proofErr w:type="spellEnd"/>
      <w:r w:rsidRPr="007D2A72">
        <w:rPr>
          <w:rFonts w:ascii="David" w:hAnsi="David" w:cs="David"/>
          <w:sz w:val="26"/>
          <w:szCs w:val="26"/>
          <w:rtl/>
        </w:rPr>
        <w:t xml:space="preserve"> ורוב גולמי בני ישראל שהקב"ה גוזר על האדם </w:t>
      </w:r>
      <w:proofErr w:type="spellStart"/>
      <w:r w:rsidRPr="007D2A72">
        <w:rPr>
          <w:rFonts w:ascii="David" w:hAnsi="David" w:cs="David"/>
          <w:sz w:val="26"/>
          <w:szCs w:val="26"/>
          <w:rtl/>
        </w:rPr>
        <w:t>מתחלת</w:t>
      </w:r>
      <w:proofErr w:type="spellEnd"/>
      <w:r w:rsidRPr="007D2A72">
        <w:rPr>
          <w:rFonts w:ascii="David" w:hAnsi="David" w:cs="David"/>
          <w:sz w:val="26"/>
          <w:szCs w:val="26"/>
          <w:rtl/>
        </w:rPr>
        <w:t xml:space="preserve"> ברייתו להיות צדיק או רשע, אין הדבר כן אלא כל אדם ראוי לו </w:t>
      </w:r>
      <w:r w:rsidRPr="007D2A72">
        <w:rPr>
          <w:rFonts w:ascii="David" w:hAnsi="David" w:cs="David"/>
          <w:b/>
          <w:bCs/>
          <w:sz w:val="26"/>
          <w:szCs w:val="26"/>
          <w:rtl/>
        </w:rPr>
        <w:t>להיות צדיק כמשה רבינו</w:t>
      </w:r>
      <w:r w:rsidRPr="007D2A72">
        <w:rPr>
          <w:rFonts w:ascii="David" w:hAnsi="David" w:cs="David"/>
          <w:sz w:val="26"/>
          <w:szCs w:val="26"/>
          <w:rtl/>
        </w:rPr>
        <w:t xml:space="preserve"> או רשע כירבעם או חכם או סכל או רחמן או אכזרי או כילי או שוע וכן שאר כל הדעות, ואין לו מי שיכפהו ולא גוזר עליו ולא מי שמושכו לאחד משני </w:t>
      </w:r>
      <w:r w:rsidRPr="007D2A72">
        <w:rPr>
          <w:rFonts w:ascii="David" w:hAnsi="David" w:cs="David"/>
          <w:sz w:val="26"/>
          <w:szCs w:val="26"/>
          <w:rtl/>
        </w:rPr>
        <w:lastRenderedPageBreak/>
        <w:t xml:space="preserve">הדרכים אלא </w:t>
      </w:r>
      <w:r w:rsidRPr="007D2A72">
        <w:rPr>
          <w:rFonts w:ascii="David" w:hAnsi="David" w:cs="David"/>
          <w:b/>
          <w:bCs/>
          <w:sz w:val="26"/>
          <w:szCs w:val="26"/>
          <w:rtl/>
        </w:rPr>
        <w:t>הוא מעצמו ומדעתו נוטה לאי זו דרך שירצה</w:t>
      </w:r>
      <w:r w:rsidRPr="007D2A72">
        <w:rPr>
          <w:rFonts w:ascii="David" w:hAnsi="David" w:cs="David"/>
          <w:sz w:val="26"/>
          <w:szCs w:val="26"/>
          <w:rtl/>
        </w:rPr>
        <w:t xml:space="preserve">, הוא שירמיהו אמר מפי עליון לא תצא הרעות והטוב, כלומר אין הבורא גוזר על האדם להיות טוב ולא להיות רע, וכיון שכן הוא נמצא זה החוטא הוא הפסיד את עצמו, ולפיכך ראוי לו לבכות ולקונן על חטאיו ועל מה שעשה לנפשו וגמלה רעה, הוא שכתוב אחריו מה יתאונן אדם חי וגו', וחזר ואמר הואיל ורשותנו בידינו ומדעתנו עשינו כל הרעות ראוי לנו לחזור בתשובה ולעזוב רשענו שהרשות עתה בידינו הוא שכתוב אחריו נחפשה דרכינו </w:t>
      </w:r>
      <w:proofErr w:type="spellStart"/>
      <w:r w:rsidRPr="007D2A72">
        <w:rPr>
          <w:rFonts w:ascii="David" w:hAnsi="David" w:cs="David"/>
          <w:sz w:val="26"/>
          <w:szCs w:val="26"/>
          <w:rtl/>
        </w:rPr>
        <w:t>ונחקורה</w:t>
      </w:r>
      <w:proofErr w:type="spellEnd"/>
      <w:r w:rsidRPr="007D2A72">
        <w:rPr>
          <w:rFonts w:ascii="David" w:hAnsi="David" w:cs="David"/>
          <w:sz w:val="26"/>
          <w:szCs w:val="26"/>
          <w:rtl/>
        </w:rPr>
        <w:t xml:space="preserve"> </w:t>
      </w:r>
      <w:proofErr w:type="spellStart"/>
      <w:r w:rsidRPr="007D2A72">
        <w:rPr>
          <w:rFonts w:ascii="David" w:hAnsi="David" w:cs="David"/>
          <w:sz w:val="26"/>
          <w:szCs w:val="26"/>
          <w:rtl/>
        </w:rPr>
        <w:t>ונשובה</w:t>
      </w:r>
      <w:proofErr w:type="spellEnd"/>
      <w:r w:rsidRPr="007D2A72">
        <w:rPr>
          <w:rFonts w:ascii="David" w:hAnsi="David" w:cs="David"/>
          <w:sz w:val="26"/>
          <w:szCs w:val="26"/>
          <w:rtl/>
        </w:rPr>
        <w:t xml:space="preserve"> וגו'.</w:t>
      </w:r>
    </w:p>
    <w:p w14:paraId="5B5FD41C" w14:textId="0C288BBD" w:rsidR="002F721A" w:rsidRPr="007D2A72" w:rsidRDefault="002F721A" w:rsidP="002F721A">
      <w:pPr>
        <w:autoSpaceDE w:val="0"/>
        <w:autoSpaceDN w:val="0"/>
        <w:adjustRightInd w:val="0"/>
        <w:spacing w:after="0" w:line="240" w:lineRule="auto"/>
        <w:rPr>
          <w:rFonts w:ascii="David" w:hAnsi="David" w:cs="David"/>
          <w:kern w:val="0"/>
          <w:sz w:val="26"/>
          <w:szCs w:val="26"/>
          <w:rtl/>
        </w:rPr>
      </w:pPr>
    </w:p>
    <w:p w14:paraId="3F24F9A7" w14:textId="77777777" w:rsidR="002F721A" w:rsidRPr="007D2A72" w:rsidRDefault="002F721A">
      <w:pPr>
        <w:rPr>
          <w:rFonts w:ascii="David" w:hAnsi="David" w:cs="David"/>
          <w:sz w:val="26"/>
          <w:szCs w:val="26"/>
        </w:rPr>
      </w:pPr>
    </w:p>
    <w:p w14:paraId="68B88D13" w14:textId="77777777" w:rsidR="007D2A72" w:rsidRPr="007D2A72" w:rsidRDefault="007D2A72">
      <w:pPr>
        <w:rPr>
          <w:rFonts w:ascii="David" w:hAnsi="David" w:cs="David"/>
          <w:sz w:val="26"/>
          <w:szCs w:val="26"/>
        </w:rPr>
      </w:pPr>
    </w:p>
    <w:sectPr w:rsidR="007D2A72" w:rsidRPr="007D2A72" w:rsidSect="0006672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FD59" w14:textId="77777777" w:rsidR="0006672D" w:rsidRDefault="0006672D" w:rsidP="00642934">
      <w:pPr>
        <w:spacing w:after="0" w:line="240" w:lineRule="auto"/>
      </w:pPr>
      <w:r>
        <w:separator/>
      </w:r>
    </w:p>
  </w:endnote>
  <w:endnote w:type="continuationSeparator" w:id="0">
    <w:p w14:paraId="6EAFA5F8" w14:textId="77777777" w:rsidR="0006672D" w:rsidRDefault="0006672D" w:rsidP="0064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1412" w14:textId="77777777" w:rsidR="0006672D" w:rsidRDefault="0006672D" w:rsidP="00642934">
      <w:pPr>
        <w:spacing w:after="0" w:line="240" w:lineRule="auto"/>
      </w:pPr>
      <w:r>
        <w:separator/>
      </w:r>
    </w:p>
  </w:footnote>
  <w:footnote w:type="continuationSeparator" w:id="0">
    <w:p w14:paraId="5F08D1E9" w14:textId="77777777" w:rsidR="0006672D" w:rsidRDefault="0006672D" w:rsidP="00642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1A"/>
    <w:rsid w:val="0006672D"/>
    <w:rsid w:val="002F721A"/>
    <w:rsid w:val="003C2AEF"/>
    <w:rsid w:val="005621F0"/>
    <w:rsid w:val="00642934"/>
    <w:rsid w:val="007D2A72"/>
    <w:rsid w:val="00BA7E1F"/>
    <w:rsid w:val="00BE7B6F"/>
    <w:rsid w:val="00CB02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21E5"/>
  <w15:chartTrackingRefBased/>
  <w15:docId w15:val="{DD77F66B-0B95-4C23-9EA8-547840F4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2F72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2F72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2F721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2F721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F721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F721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F721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F721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F721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F721A"/>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2F721A"/>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2F721A"/>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2F721A"/>
    <w:rPr>
      <w:rFonts w:eastAsiaTheme="majorEastAsia" w:cstheme="majorBidi"/>
      <w:i/>
      <w:iCs/>
      <w:color w:val="0F4761" w:themeColor="accent1" w:themeShade="BF"/>
    </w:rPr>
  </w:style>
  <w:style w:type="character" w:customStyle="1" w:styleId="50">
    <w:name w:val="כותרת 5 תו"/>
    <w:basedOn w:val="a0"/>
    <w:link w:val="5"/>
    <w:uiPriority w:val="9"/>
    <w:semiHidden/>
    <w:rsid w:val="002F721A"/>
    <w:rPr>
      <w:rFonts w:eastAsiaTheme="majorEastAsia" w:cstheme="majorBidi"/>
      <w:color w:val="0F4761" w:themeColor="accent1" w:themeShade="BF"/>
    </w:rPr>
  </w:style>
  <w:style w:type="character" w:customStyle="1" w:styleId="60">
    <w:name w:val="כותרת 6 תו"/>
    <w:basedOn w:val="a0"/>
    <w:link w:val="6"/>
    <w:uiPriority w:val="9"/>
    <w:semiHidden/>
    <w:rsid w:val="002F721A"/>
    <w:rPr>
      <w:rFonts w:eastAsiaTheme="majorEastAsia" w:cstheme="majorBidi"/>
      <w:i/>
      <w:iCs/>
      <w:color w:val="595959" w:themeColor="text1" w:themeTint="A6"/>
    </w:rPr>
  </w:style>
  <w:style w:type="character" w:customStyle="1" w:styleId="70">
    <w:name w:val="כותרת 7 תו"/>
    <w:basedOn w:val="a0"/>
    <w:link w:val="7"/>
    <w:uiPriority w:val="9"/>
    <w:semiHidden/>
    <w:rsid w:val="002F721A"/>
    <w:rPr>
      <w:rFonts w:eastAsiaTheme="majorEastAsia" w:cstheme="majorBidi"/>
      <w:color w:val="595959" w:themeColor="text1" w:themeTint="A6"/>
    </w:rPr>
  </w:style>
  <w:style w:type="character" w:customStyle="1" w:styleId="80">
    <w:name w:val="כותרת 8 תו"/>
    <w:basedOn w:val="a0"/>
    <w:link w:val="8"/>
    <w:uiPriority w:val="9"/>
    <w:semiHidden/>
    <w:rsid w:val="002F721A"/>
    <w:rPr>
      <w:rFonts w:eastAsiaTheme="majorEastAsia" w:cstheme="majorBidi"/>
      <w:i/>
      <w:iCs/>
      <w:color w:val="272727" w:themeColor="text1" w:themeTint="D8"/>
    </w:rPr>
  </w:style>
  <w:style w:type="character" w:customStyle="1" w:styleId="90">
    <w:name w:val="כותרת 9 תו"/>
    <w:basedOn w:val="a0"/>
    <w:link w:val="9"/>
    <w:uiPriority w:val="9"/>
    <w:semiHidden/>
    <w:rsid w:val="002F721A"/>
    <w:rPr>
      <w:rFonts w:eastAsiaTheme="majorEastAsia" w:cstheme="majorBidi"/>
      <w:color w:val="272727" w:themeColor="text1" w:themeTint="D8"/>
    </w:rPr>
  </w:style>
  <w:style w:type="paragraph" w:styleId="a3">
    <w:name w:val="Title"/>
    <w:basedOn w:val="a"/>
    <w:next w:val="a"/>
    <w:link w:val="a4"/>
    <w:uiPriority w:val="10"/>
    <w:qFormat/>
    <w:rsid w:val="002F72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2F72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F721A"/>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2F721A"/>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2F721A"/>
    <w:pPr>
      <w:spacing w:before="160"/>
      <w:jc w:val="center"/>
    </w:pPr>
    <w:rPr>
      <w:i/>
      <w:iCs/>
      <w:color w:val="404040" w:themeColor="text1" w:themeTint="BF"/>
    </w:rPr>
  </w:style>
  <w:style w:type="character" w:customStyle="1" w:styleId="a8">
    <w:name w:val="ציטוט תו"/>
    <w:basedOn w:val="a0"/>
    <w:link w:val="a7"/>
    <w:uiPriority w:val="29"/>
    <w:rsid w:val="002F721A"/>
    <w:rPr>
      <w:i/>
      <w:iCs/>
      <w:color w:val="404040" w:themeColor="text1" w:themeTint="BF"/>
    </w:rPr>
  </w:style>
  <w:style w:type="paragraph" w:styleId="a9">
    <w:name w:val="List Paragraph"/>
    <w:basedOn w:val="a"/>
    <w:uiPriority w:val="34"/>
    <w:qFormat/>
    <w:rsid w:val="002F721A"/>
    <w:pPr>
      <w:ind w:left="720"/>
      <w:contextualSpacing/>
    </w:pPr>
  </w:style>
  <w:style w:type="character" w:styleId="aa">
    <w:name w:val="Intense Emphasis"/>
    <w:basedOn w:val="a0"/>
    <w:uiPriority w:val="21"/>
    <w:qFormat/>
    <w:rsid w:val="002F721A"/>
    <w:rPr>
      <w:i/>
      <w:iCs/>
      <w:color w:val="0F4761" w:themeColor="accent1" w:themeShade="BF"/>
    </w:rPr>
  </w:style>
  <w:style w:type="paragraph" w:styleId="ab">
    <w:name w:val="Intense Quote"/>
    <w:basedOn w:val="a"/>
    <w:next w:val="a"/>
    <w:link w:val="ac"/>
    <w:uiPriority w:val="30"/>
    <w:qFormat/>
    <w:rsid w:val="002F72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2F721A"/>
    <w:rPr>
      <w:i/>
      <w:iCs/>
      <w:color w:val="0F4761" w:themeColor="accent1" w:themeShade="BF"/>
    </w:rPr>
  </w:style>
  <w:style w:type="character" w:styleId="ad">
    <w:name w:val="Intense Reference"/>
    <w:basedOn w:val="a0"/>
    <w:uiPriority w:val="32"/>
    <w:qFormat/>
    <w:rsid w:val="002F721A"/>
    <w:rPr>
      <w:b/>
      <w:bCs/>
      <w:smallCaps/>
      <w:color w:val="0F4761" w:themeColor="accent1" w:themeShade="BF"/>
      <w:spacing w:val="5"/>
    </w:rPr>
  </w:style>
  <w:style w:type="paragraph" w:styleId="ae">
    <w:name w:val="footnote text"/>
    <w:basedOn w:val="a"/>
    <w:link w:val="af"/>
    <w:rsid w:val="00642934"/>
    <w:pPr>
      <w:bidi w:val="0"/>
      <w:spacing w:after="0" w:line="240" w:lineRule="auto"/>
    </w:pPr>
    <w:rPr>
      <w:rFonts w:ascii="Times New Roman" w:eastAsia="Times New Roman" w:hAnsi="Times New Roman" w:cs="Times New Roman"/>
      <w:kern w:val="0"/>
      <w:sz w:val="20"/>
      <w:szCs w:val="20"/>
      <w14:ligatures w14:val="none"/>
    </w:rPr>
  </w:style>
  <w:style w:type="character" w:customStyle="1" w:styleId="af">
    <w:name w:val="טקסט הערת שוליים תו"/>
    <w:basedOn w:val="a0"/>
    <w:link w:val="ae"/>
    <w:rsid w:val="00642934"/>
    <w:rPr>
      <w:rFonts w:ascii="Times New Roman" w:eastAsia="Times New Roman" w:hAnsi="Times New Roman" w:cs="Times New Roman"/>
      <w:kern w:val="0"/>
      <w:sz w:val="20"/>
      <w:szCs w:val="20"/>
      <w14:ligatures w14:val="none"/>
    </w:rPr>
  </w:style>
  <w:style w:type="character" w:styleId="af0">
    <w:name w:val="footnote reference"/>
    <w:rsid w:val="00642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582</Words>
  <Characters>2577</Characters>
  <Application>Microsoft Office Word</Application>
  <DocSecurity>0</DocSecurity>
  <Lines>143</Lines>
  <Paragraphs>157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6</cp:revision>
  <dcterms:created xsi:type="dcterms:W3CDTF">2024-03-17T14:47:00Z</dcterms:created>
  <dcterms:modified xsi:type="dcterms:W3CDTF">2024-03-17T15:51:00Z</dcterms:modified>
</cp:coreProperties>
</file>