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F543" w14:textId="77777777" w:rsidR="00B9703A" w:rsidRPr="009B68CF" w:rsidRDefault="00B9703A" w:rsidP="00B9703A">
      <w:pPr>
        <w:jc w:val="right"/>
        <w:rPr>
          <w:kern w:val="0"/>
          <w:rtl/>
        </w:rPr>
      </w:pPr>
      <w:r w:rsidRPr="009B68CF">
        <w:rPr>
          <w:rFonts w:hint="cs"/>
          <w:kern w:val="0"/>
          <w:rtl/>
        </w:rPr>
        <w:t>הרב שמואל דוב ווייס</w:t>
      </w:r>
    </w:p>
    <w:p w14:paraId="1E32AEB5" w14:textId="7C134DFD" w:rsidR="00B9703A" w:rsidRDefault="00B9703A" w:rsidP="00B9703A">
      <w:pPr>
        <w:jc w:val="center"/>
        <w:rPr>
          <w:rtl/>
        </w:rPr>
      </w:pPr>
      <w:r>
        <w:rPr>
          <w:rFonts w:hint="cs"/>
          <w:b/>
          <w:bCs/>
          <w:sz w:val="30"/>
          <w:szCs w:val="30"/>
          <w:u w:val="single"/>
          <w:rtl/>
        </w:rPr>
        <w:t>זכירת יציאת מצרים</w:t>
      </w:r>
      <w:r w:rsidRPr="00AC08D8">
        <w:rPr>
          <w:rFonts w:hint="cs"/>
          <w:sz w:val="30"/>
          <w:szCs w:val="30"/>
          <w:rtl/>
        </w:rPr>
        <w:t xml:space="preserve"> </w:t>
      </w:r>
      <w:r w:rsidRPr="009B68CF">
        <w:rPr>
          <w:rFonts w:hint="cs"/>
          <w:rtl/>
        </w:rPr>
        <w:t>(#</w:t>
      </w:r>
      <w:r>
        <w:rPr>
          <w:rFonts w:hint="cs"/>
          <w:rtl/>
        </w:rPr>
        <w:t>2</w:t>
      </w:r>
      <w:r w:rsidRPr="009B68CF">
        <w:rPr>
          <w:rFonts w:hint="cs"/>
          <w:rtl/>
        </w:rPr>
        <w:t>)</w:t>
      </w:r>
    </w:p>
    <w:p w14:paraId="0CCCCBF5" w14:textId="77777777" w:rsidR="00A834C9" w:rsidRPr="004A0BD1" w:rsidRDefault="00A834C9" w:rsidP="00B9703A">
      <w:pPr>
        <w:jc w:val="center"/>
        <w:rPr>
          <w:sz w:val="2"/>
          <w:szCs w:val="2"/>
          <w:rtl/>
        </w:rPr>
      </w:pPr>
    </w:p>
    <w:p w14:paraId="72A4DA6F" w14:textId="77777777" w:rsidR="00DE4C9F" w:rsidRPr="00DE4C9F" w:rsidRDefault="00DE4C9F" w:rsidP="00DE4C9F">
      <w:pPr>
        <w:jc w:val="right"/>
        <w:rPr>
          <w:rtl/>
        </w:rPr>
      </w:pPr>
      <w:r w:rsidRPr="00DE4C9F">
        <w:rPr>
          <w:rFonts w:hint="cs"/>
          <w:b/>
          <w:bCs/>
          <w:rtl/>
        </w:rPr>
        <w:t xml:space="preserve">גמ' </w:t>
      </w:r>
      <w:r w:rsidRPr="00DE4C9F">
        <w:rPr>
          <w:rFonts w:hint="cs"/>
          <w:rtl/>
        </w:rPr>
        <w:t xml:space="preserve">יב: ["מתני' מזכירין ..."] - יג. [עד "...משכחות את הראשונות"], </w:t>
      </w:r>
      <w:r w:rsidRPr="00DE4C9F">
        <w:rPr>
          <w:rFonts w:hint="cs"/>
          <w:b/>
          <w:bCs/>
          <w:rtl/>
        </w:rPr>
        <w:t>רש"י</w:t>
      </w:r>
      <w:r w:rsidRPr="00DE4C9F">
        <w:rPr>
          <w:rFonts w:hint="cs"/>
          <w:rtl/>
        </w:rPr>
        <w:t xml:space="preserve"> שם</w:t>
      </w:r>
    </w:p>
    <w:p w14:paraId="00A79A76" w14:textId="2B64F32A" w:rsidR="00DE4C9F" w:rsidRDefault="00DE4C9F" w:rsidP="00DE4C9F">
      <w:pPr>
        <w:jc w:val="right"/>
        <w:rPr>
          <w:rtl/>
        </w:rPr>
      </w:pPr>
      <w:r w:rsidRPr="00DE4C9F">
        <w:rPr>
          <w:rFonts w:hint="cs"/>
          <w:b/>
          <w:bCs/>
          <w:rtl/>
        </w:rPr>
        <w:t>גמ'</w:t>
      </w:r>
      <w:r w:rsidRPr="00DE4C9F">
        <w:rPr>
          <w:rFonts w:hint="cs"/>
          <w:rtl/>
        </w:rPr>
        <w:t xml:space="preserve"> יד. ["א"ר אבהו א"ר יוחנן..."] - יד: [עד "...</w:t>
      </w:r>
      <w:r>
        <w:rPr>
          <w:rFonts w:hint="cs"/>
          <w:rtl/>
        </w:rPr>
        <w:t xml:space="preserve">ושרנו לך"], </w:t>
      </w:r>
      <w:r w:rsidRPr="00DE4C9F">
        <w:rPr>
          <w:rFonts w:hint="cs"/>
          <w:b/>
          <w:bCs/>
          <w:rtl/>
        </w:rPr>
        <w:t>רש"י</w:t>
      </w:r>
      <w:r>
        <w:rPr>
          <w:rFonts w:hint="cs"/>
          <w:rtl/>
        </w:rPr>
        <w:t xml:space="preserve"> שם</w:t>
      </w:r>
    </w:p>
    <w:p w14:paraId="2D3B8321" w14:textId="7567360C" w:rsidR="00DE4C9F" w:rsidRDefault="00DE4C9F" w:rsidP="00DE4C9F">
      <w:pPr>
        <w:jc w:val="right"/>
        <w:rPr>
          <w:rtl/>
        </w:rPr>
      </w:pPr>
      <w:r w:rsidRPr="00DE4C9F">
        <w:rPr>
          <w:b/>
          <w:bCs/>
          <w:rtl/>
        </w:rPr>
        <w:t>רשב"א</w:t>
      </w:r>
      <w:r>
        <w:rPr>
          <w:rtl/>
        </w:rPr>
        <w:t xml:space="preserve"> יב: (ד"ה </w:t>
      </w:r>
      <w:r w:rsidRPr="00DE4C9F">
        <w:rPr>
          <w:rFonts w:hint="cs"/>
          <w:rtl/>
        </w:rPr>
        <w:t>מתני' אמר ראב"ע</w:t>
      </w:r>
      <w:r>
        <w:rPr>
          <w:rFonts w:hint="cs"/>
          <w:rtl/>
        </w:rPr>
        <w:t>)</w:t>
      </w:r>
    </w:p>
    <w:p w14:paraId="1348FE41" w14:textId="711C5FF6" w:rsidR="00C66366" w:rsidRDefault="00C66366" w:rsidP="00DE4C9F">
      <w:pPr>
        <w:jc w:val="right"/>
        <w:rPr>
          <w:rtl/>
        </w:rPr>
      </w:pPr>
      <w:r w:rsidRPr="00C66366">
        <w:rPr>
          <w:b/>
          <w:bCs/>
          <w:rtl/>
        </w:rPr>
        <w:t>רי</w:t>
      </w:r>
      <w:r w:rsidRPr="00C66366">
        <w:rPr>
          <w:rFonts w:hint="cs"/>
          <w:b/>
          <w:bCs/>
          <w:rtl/>
        </w:rPr>
        <w:t>"ד</w:t>
      </w:r>
      <w:r>
        <w:rPr>
          <w:rFonts w:hint="cs"/>
          <w:rtl/>
        </w:rPr>
        <w:t xml:space="preserve"> על ההגדה (ד"ה ולא זכיתי שתאמר) [עמ' ג'-ה']**</w:t>
      </w:r>
      <w:r w:rsidRPr="00C66366">
        <w:rPr>
          <w:vertAlign w:val="superscript"/>
          <w:rtl/>
        </w:rPr>
        <w:footnoteReference w:id="1"/>
      </w:r>
    </w:p>
    <w:p w14:paraId="79352C34" w14:textId="77777777" w:rsidR="00C66366" w:rsidRPr="00C66366" w:rsidRDefault="00C66366" w:rsidP="00C66366">
      <w:pPr>
        <w:jc w:val="right"/>
        <w:rPr>
          <w:rtl/>
        </w:rPr>
      </w:pPr>
      <w:r w:rsidRPr="00C66366">
        <w:rPr>
          <w:b/>
          <w:bCs/>
          <w:rtl/>
        </w:rPr>
        <w:t>פיר</w:t>
      </w:r>
      <w:r w:rsidRPr="00C66366">
        <w:rPr>
          <w:rFonts w:hint="cs"/>
          <w:b/>
          <w:bCs/>
          <w:rtl/>
        </w:rPr>
        <w:t xml:space="preserve">וש המשניות לרמב"ם </w:t>
      </w:r>
      <w:r w:rsidRPr="00C66366">
        <w:rPr>
          <w:rFonts w:hint="cs"/>
          <w:rtl/>
        </w:rPr>
        <w:t>פרק א' משנה ט' (ד"ה יציאת מצרים)</w:t>
      </w:r>
    </w:p>
    <w:p w14:paraId="40320129" w14:textId="77777777" w:rsidR="00C66366" w:rsidRDefault="00C66366" w:rsidP="00DE4C9F">
      <w:pPr>
        <w:jc w:val="right"/>
        <w:rPr>
          <w:rtl/>
        </w:rPr>
      </w:pPr>
      <w:r w:rsidRPr="00C66366">
        <w:rPr>
          <w:rFonts w:hint="cs"/>
          <w:b/>
          <w:bCs/>
          <w:rtl/>
        </w:rPr>
        <w:t>רמב"ם</w:t>
      </w:r>
      <w:r>
        <w:rPr>
          <w:rFonts w:hint="cs"/>
          <w:rtl/>
        </w:rPr>
        <w:t xml:space="preserve"> הל' ק"ש (א:ג)</w:t>
      </w:r>
    </w:p>
    <w:p w14:paraId="03892909" w14:textId="7110653F" w:rsidR="00C66366" w:rsidRDefault="00C66366" w:rsidP="00DE4C9F">
      <w:pPr>
        <w:jc w:val="right"/>
        <w:rPr>
          <w:rtl/>
        </w:rPr>
      </w:pPr>
      <w:r w:rsidRPr="00C66366">
        <w:rPr>
          <w:rFonts w:hint="cs"/>
          <w:b/>
          <w:bCs/>
          <w:rtl/>
        </w:rPr>
        <w:t xml:space="preserve">פרי חדש </w:t>
      </w:r>
      <w:r>
        <w:rPr>
          <w:rFonts w:hint="cs"/>
          <w:rtl/>
        </w:rPr>
        <w:t>או"ח נ"ח:א' (ד"ה איכא למידק)*</w:t>
      </w:r>
    </w:p>
    <w:p w14:paraId="2BDD9AD9" w14:textId="140610CB" w:rsidR="007D6665" w:rsidRDefault="007D6665" w:rsidP="007D6665">
      <w:pPr>
        <w:ind w:left="-270"/>
        <w:jc w:val="right"/>
        <w:rPr>
          <w:rtl/>
        </w:rPr>
      </w:pPr>
      <w:r w:rsidRPr="007D6665">
        <w:rPr>
          <w:rFonts w:hint="cs"/>
          <w:b/>
          <w:bCs/>
          <w:rtl/>
        </w:rPr>
        <w:t>גמ'</w:t>
      </w:r>
      <w:r>
        <w:rPr>
          <w:rFonts w:hint="cs"/>
          <w:rtl/>
        </w:rPr>
        <w:t xml:space="preserve"> ט. ["דתניא ואכלו את הבשר... בלילה ההוא נאכל ולא ביום", "א"ר אבא הכל מודים... חפזון דישראל"], </w:t>
      </w:r>
      <w:r w:rsidRPr="007D6665">
        <w:rPr>
          <w:rFonts w:hint="cs"/>
          <w:b/>
          <w:bCs/>
          <w:rtl/>
        </w:rPr>
        <w:t>רש"י</w:t>
      </w:r>
      <w:r>
        <w:rPr>
          <w:rFonts w:hint="cs"/>
          <w:rtl/>
        </w:rPr>
        <w:t xml:space="preserve"> שם</w:t>
      </w:r>
    </w:p>
    <w:p w14:paraId="55D91994" w14:textId="106597F8" w:rsidR="007D6665" w:rsidRDefault="007D6665" w:rsidP="007D6665">
      <w:pPr>
        <w:ind w:left="-270"/>
        <w:jc w:val="right"/>
        <w:rPr>
          <w:rtl/>
        </w:rPr>
      </w:pPr>
      <w:r w:rsidRPr="007D6665">
        <w:rPr>
          <w:b/>
          <w:bCs/>
          <w:rtl/>
        </w:rPr>
        <w:t>גמ'</w:t>
      </w:r>
      <w:r>
        <w:rPr>
          <w:rFonts w:hint="cs"/>
          <w:b/>
          <w:bCs/>
          <w:rtl/>
        </w:rPr>
        <w:t xml:space="preserve"> </w:t>
      </w:r>
      <w:r w:rsidRPr="007D6665">
        <w:rPr>
          <w:rFonts w:hint="cs"/>
          <w:rtl/>
        </w:rPr>
        <w:t>ד:</w:t>
      </w:r>
      <w:r>
        <w:rPr>
          <w:rFonts w:hint="cs"/>
          <w:rtl/>
        </w:rPr>
        <w:t xml:space="preserve"> ["אמר מר קורא ק"ש... לא הויא גאולה מעלייתא"], </w:t>
      </w:r>
      <w:r w:rsidRPr="007D6665">
        <w:rPr>
          <w:rFonts w:hint="cs"/>
          <w:b/>
          <w:bCs/>
          <w:rtl/>
        </w:rPr>
        <w:t>רש"י</w:t>
      </w:r>
      <w:r>
        <w:rPr>
          <w:rFonts w:hint="cs"/>
          <w:rtl/>
        </w:rPr>
        <w:t xml:space="preserve"> שם</w:t>
      </w:r>
    </w:p>
    <w:p w14:paraId="07BEFBA9" w14:textId="48F99C4F" w:rsidR="007D6665" w:rsidRDefault="007D6665" w:rsidP="007D6665">
      <w:pPr>
        <w:ind w:left="-270"/>
        <w:jc w:val="right"/>
        <w:rPr>
          <w:rtl/>
        </w:rPr>
      </w:pPr>
      <w:r w:rsidRPr="007D6665">
        <w:rPr>
          <w:b/>
          <w:bCs/>
          <w:rtl/>
        </w:rPr>
        <w:t>משלי</w:t>
      </w:r>
      <w:r>
        <w:rPr>
          <w:rtl/>
        </w:rPr>
        <w:t xml:space="preserve"> </w:t>
      </w:r>
      <w:r>
        <w:rPr>
          <w:rFonts w:hint="cs"/>
          <w:rtl/>
        </w:rPr>
        <w:t xml:space="preserve">פרק </w:t>
      </w:r>
      <w:r>
        <w:rPr>
          <w:rtl/>
        </w:rPr>
        <w:t>כ"ד</w:t>
      </w:r>
      <w:r>
        <w:rPr>
          <w:rFonts w:hint="cs"/>
          <w:rtl/>
        </w:rPr>
        <w:t xml:space="preserve"> פסוק </w:t>
      </w:r>
      <w:r>
        <w:rPr>
          <w:rtl/>
        </w:rPr>
        <w:t>י</w:t>
      </w:r>
      <w:r>
        <w:rPr>
          <w:rFonts w:hint="cs"/>
          <w:rtl/>
        </w:rPr>
        <w:t>"ז</w:t>
      </w:r>
    </w:p>
    <w:p w14:paraId="15162F2C" w14:textId="44277226" w:rsidR="007D6665" w:rsidRDefault="007D6665" w:rsidP="007D6665">
      <w:pPr>
        <w:ind w:left="-270"/>
        <w:jc w:val="right"/>
        <w:rPr>
          <w:rtl/>
        </w:rPr>
      </w:pPr>
      <w:r w:rsidRPr="005567CD">
        <w:rPr>
          <w:rFonts w:hint="cs"/>
          <w:b/>
          <w:bCs/>
          <w:rtl/>
        </w:rPr>
        <w:t>גמ'</w:t>
      </w:r>
      <w:r>
        <w:rPr>
          <w:rFonts w:hint="cs"/>
          <w:rtl/>
        </w:rPr>
        <w:t xml:space="preserve"> מגילה </w:t>
      </w:r>
      <w:r w:rsidR="005567CD">
        <w:rPr>
          <w:rFonts w:hint="cs"/>
          <w:rtl/>
        </w:rPr>
        <w:t>י: ["ואמר רבי יוחנן מאי דכתיב... ואתם אומרים שירה"]</w:t>
      </w:r>
    </w:p>
    <w:p w14:paraId="63A075DA" w14:textId="1806D454" w:rsidR="005567CD" w:rsidRDefault="005567CD" w:rsidP="007D6665">
      <w:pPr>
        <w:ind w:left="-270"/>
        <w:jc w:val="right"/>
        <w:rPr>
          <w:rtl/>
        </w:rPr>
      </w:pPr>
      <w:r w:rsidRPr="005567CD">
        <w:rPr>
          <w:b/>
          <w:bCs/>
          <w:rtl/>
        </w:rPr>
        <w:t>משך חכמה</w:t>
      </w:r>
      <w:r w:rsidRPr="005567CD">
        <w:rPr>
          <w:rFonts w:hint="cs"/>
          <w:b/>
          <w:bCs/>
          <w:rtl/>
        </w:rPr>
        <w:t xml:space="preserve"> </w:t>
      </w:r>
      <w:r>
        <w:rPr>
          <w:rFonts w:hint="cs"/>
          <w:rtl/>
        </w:rPr>
        <w:t>שמות (י"ב:ט"ז)*</w:t>
      </w:r>
    </w:p>
    <w:p w14:paraId="328891AD" w14:textId="47876001" w:rsidR="005567CD" w:rsidRDefault="005567CD" w:rsidP="005567CD">
      <w:pPr>
        <w:jc w:val="right"/>
        <w:rPr>
          <w:b/>
          <w:bCs/>
        </w:rPr>
      </w:pPr>
      <w:r w:rsidRPr="00C85FE0">
        <w:rPr>
          <w:b/>
          <w:bCs/>
          <w:rtl/>
        </w:rPr>
        <w:t xml:space="preserve">ליל שימורים </w:t>
      </w:r>
      <w:r>
        <w:rPr>
          <w:rtl/>
        </w:rPr>
        <w:t>על ההגדה (ד"ה</w:t>
      </w:r>
      <w:r w:rsidRPr="00C85FE0">
        <w:rPr>
          <w:rFonts w:hint="cs"/>
          <w:rtl/>
        </w:rPr>
        <w:t xml:space="preserve"> </w:t>
      </w:r>
      <w:r>
        <w:rPr>
          <w:rFonts w:hint="cs"/>
          <w:rtl/>
        </w:rPr>
        <w:t>אמר ר' אלעזר) [עד "...גם את הטפל כמו שנתבאר"] [עמ' י'-י"א]**</w:t>
      </w:r>
      <w:r>
        <w:rPr>
          <w:rStyle w:val="FootnoteReference"/>
          <w:rtl/>
        </w:rPr>
        <w:footnoteReference w:id="2"/>
      </w:r>
      <w:r w:rsidRPr="0025303D">
        <w:rPr>
          <w:b/>
          <w:bCs/>
        </w:rPr>
        <w:t xml:space="preserve"> </w:t>
      </w:r>
    </w:p>
    <w:p w14:paraId="02062961" w14:textId="62255402" w:rsidR="0008472A" w:rsidRPr="00C85FE0" w:rsidRDefault="0008472A" w:rsidP="005567CD">
      <w:pPr>
        <w:jc w:val="right"/>
        <w:rPr>
          <w:rFonts w:hint="cs"/>
          <w:b/>
          <w:bCs/>
          <w:rtl/>
        </w:rPr>
      </w:pPr>
      <w:r>
        <w:rPr>
          <w:rFonts w:hint="cs"/>
          <w:b/>
          <w:bCs/>
          <w:rtl/>
        </w:rPr>
        <w:t xml:space="preserve">שמות </w:t>
      </w:r>
      <w:r w:rsidRPr="0008472A">
        <w:rPr>
          <w:rFonts w:hint="cs"/>
          <w:rtl/>
        </w:rPr>
        <w:t>פרק</w:t>
      </w:r>
      <w:r>
        <w:rPr>
          <w:rFonts w:hint="cs"/>
          <w:rtl/>
        </w:rPr>
        <w:t xml:space="preserve"> כ' פסוק ב', </w:t>
      </w:r>
      <w:r w:rsidRPr="0008472A">
        <w:rPr>
          <w:rFonts w:hint="cs"/>
          <w:b/>
          <w:bCs/>
          <w:rtl/>
        </w:rPr>
        <w:t>רמב"ן</w:t>
      </w:r>
      <w:r>
        <w:rPr>
          <w:rFonts w:hint="cs"/>
          <w:rtl/>
        </w:rPr>
        <w:t xml:space="preserve"> שם [עד "...קבלו כל מצותי"]</w:t>
      </w:r>
    </w:p>
    <w:p w14:paraId="2EB4D945" w14:textId="77777777" w:rsidR="0008472A" w:rsidRDefault="0008472A" w:rsidP="00A834C9">
      <w:pPr>
        <w:rPr>
          <w:rtl/>
        </w:rPr>
      </w:pPr>
    </w:p>
    <w:p w14:paraId="196E44E4" w14:textId="77777777" w:rsidR="00C66366" w:rsidRDefault="00C66366" w:rsidP="00DE4C9F">
      <w:pPr>
        <w:jc w:val="right"/>
      </w:pPr>
    </w:p>
    <w:p w14:paraId="62D88305" w14:textId="77777777" w:rsidR="004A0BD1" w:rsidRDefault="004A0BD1" w:rsidP="00DE4C9F">
      <w:pPr>
        <w:jc w:val="right"/>
        <w:rPr>
          <w:rtl/>
        </w:rPr>
      </w:pPr>
    </w:p>
    <w:p w14:paraId="6065AF0F" w14:textId="1870AABD" w:rsidR="00C66366" w:rsidRPr="00C66366" w:rsidRDefault="00C66366" w:rsidP="00C66366">
      <w:pPr>
        <w:jc w:val="right"/>
        <w:rPr>
          <w:rtl/>
        </w:rPr>
      </w:pPr>
      <w:r w:rsidRPr="00C66366">
        <w:rPr>
          <w:b/>
          <w:bCs/>
          <w:rtl/>
        </w:rPr>
        <w:t>פרי חדש אורח חיים סימן נח סעיף א</w:t>
      </w:r>
      <w:r w:rsidRPr="00C66366">
        <w:t xml:space="preserve"> </w:t>
      </w:r>
    </w:p>
    <w:p w14:paraId="37F9C338" w14:textId="77777777" w:rsidR="00C66366" w:rsidRPr="00C66366" w:rsidRDefault="00C66366" w:rsidP="00C66366">
      <w:pPr>
        <w:ind w:left="-90"/>
        <w:jc w:val="right"/>
        <w:rPr>
          <w:rtl/>
        </w:rPr>
      </w:pPr>
      <w:r w:rsidRPr="00C66366">
        <w:rPr>
          <w:rtl/>
        </w:rPr>
        <w:t>מכל הלין מוכח בהידייא דקריאת שמע יש לה זמן קבוע מן התורה. ועוד נראה להביא ראיה מהא דתנן פרק מי שמתו [שם כ, א] נשים ועבדים וקטנים פטורין מקריאת שמע, ופרכינן [שם ע"ב] פשיטא מצות עשה שהזמן גרמא הוא וכל מצות עשה שזמן גרמא נשים פטורות וכו', ואי אמרת בשלמא דאיכא פטור זמן קריאת שמע דהיינו מג' שעות ואילך ניחא דקרי ליה מצות עשה שהזמן גרמא, אלא אי אמרת דזמן קריאת שמע של הלילה כל הלילה וזמן קריאת שמע של יום כל היום, א"כ ליכא שעה פטורה מקריאת שמע, וכיון דכן הוה ליה מצות עשה שאין הזמן גרמא דהא ליכא שעה פטורה, אלא ודאי כדאמרן. וא"ת והרי יציאת מצרים דכתיב בה [דברים טז, ג] למען תזכור את יום צאתך מארץ מצרים כל ימי חייך, וקיימא לן [רמב"ם קריאת שמע א, ג] כבן זומא [ברכות יב, ב] דמריבוייא דכל מרבינן לילות, וכיון דכן הוה ליה מצות עשה שאין הזמן גרמא ואפילו הכי נשי פטירי. וי"ל דלא הוי דרשה גמורה אלא רמז בעלמא, וכ"כ הרמב"ם בפירוש המשניות [סוף פרק קמא דברכות], ודלא כדמשמע מדברי הראב"ד שהביא הרשב"א סוף פרק קמא דברכות:</w:t>
      </w:r>
    </w:p>
    <w:p w14:paraId="0CE1E064" w14:textId="6AFFF1E6" w:rsidR="005567CD" w:rsidRPr="005567CD" w:rsidRDefault="005567CD" w:rsidP="0008472A">
      <w:pPr>
        <w:jc w:val="right"/>
        <w:rPr>
          <w:rtl/>
        </w:rPr>
      </w:pPr>
      <w:r w:rsidRPr="005567CD">
        <w:rPr>
          <w:b/>
          <w:bCs/>
          <w:rtl/>
        </w:rPr>
        <w:lastRenderedPageBreak/>
        <w:t>משך חכמה שמות פרשת בא פרק יב פסוק טז</w:t>
      </w:r>
      <w:r w:rsidRPr="005567CD">
        <w:t xml:space="preserve"> </w:t>
      </w:r>
    </w:p>
    <w:p w14:paraId="0F8C4176" w14:textId="49DD074C" w:rsidR="00C66366" w:rsidRDefault="005567CD" w:rsidP="005567CD">
      <w:pPr>
        <w:jc w:val="right"/>
        <w:rPr>
          <w:rtl/>
        </w:rPr>
      </w:pPr>
      <w:r w:rsidRPr="005567CD">
        <w:rPr>
          <w:rtl/>
        </w:rPr>
        <w:t>וביום הראשון מקרא קודש, וביום השביעי מקרא קודש. הנה בפסח מצרים, לא היה חימוצו נוהג אלא יום אחד, כן כתבו דיום טוב לא נהוג (תוספות יום טוב וצל"ח שלהי מסכת פסחים, מהרי"ט לקידושין לז, ב). ולדעתי הא דאמר להם עתה דבר של דורות, הוא להורות שלימות מצוותיו יתברך, כי כל העמים בדתותיהן הנימוסיות יעשו יום הנצחון יום מפלת אויבים לחוג חג הנצחון. לא כן בישראל, המה לא ישמחו על מפלת אויביהם, ולא יחוגו בשמחה על זה, וכמו שאמר (משלי כב, יז) "בנפול אויבך אל תשמח (ובהכשלו אל יגל לבך) פן יראה ה' ורע בעיניו, והשיב מעליו אפו". הרי דאדם המעלה אינו שמח בנפול אויבו, משום שהשמחה רע בעיני ה' - הלא הרע בעיני ה' צריך לשנאתו! ולכן לא נזכר בפסח 'חג המצות, כי בו עשה במצרים שפטים', רק "כי הוציא ה' את בני ישראל ממצרים". אבל על מפלת האויבים אין חג ויום טוב לישראל. ולכך על נס חנוכה, אין היום מורה רק על הדלקת שמן זית, וחינוך בית ה' וטהרתו, והשגחת אלקים על עמו בית ישראל בזמן שלא היה נביא וחוזה בישראל. ולכן נעשה ההדלקה על ענין בלתי מפורסם, ההדלקה שמונה ימים בהיכל, משום שהמנהיגים והשרי צבאות היו הכהנים הגדולים החשמונאים, והיתה חוששת ההשגחה שמא יאמרו 'כוחם ועוצם ידם', ובתחבולות מלחמה נצחו, הראתה להם ההשגחה אות ומופת בהיכל, אשר אינו ידוע רק לכוהנים, למען ידעו כי יד אלקים עשה זאת והם מושגחים דרך נס למעלה מן הטבע. וכן בנס פורים לא עשו יום טוב ביום שנתלה המן או ביום שהרגו בשונאיהם, כי זה אין שמחה לפני עמו ישראל. רק היום טוב הוא "בימים אשר נחו מאויביהם" (ע"פ אסתר ט כב), וכמו שהיו צריכים למנוחה, והיו נחשים על דרכם ונהרגו הנחשים, היתכן לשמוח יום שנצחו הנחשים?! כי רק השמחה על המנוחה! לכן "ויכתוב מרדכי את הדברים האלה וישלח ספרים וכו' לקיים עליהם להיות עושים וכו' בימים אשר נחו בהם" (שם שם כ), שלכן לא היה חושש ל'קנאה את מעוררת עלינו בין האומות' [שאנו שמחים במפלתם - רש"י]. שאין השמחה רק על המנוחה, לא על יום ההרג בשונאיהם. ועיין ירושלמי: אמר רבי חנינא: י"ג זמן מלחמה הוא! והוא מוכיח על עצמו שאין בו נייחא וכו'. ועיין ברא"ש ריש מגילה. ולכן כיון ש"החלו לעשות", אם היו מפסיקים מלעשות, היו סבורים שעשו השמחה על ההרג בשונאיהם. ובתוך אלו השנים כבר נצמחו איבים חדשים ושונאים מקרוב, ולבני ישראל חושבים מחשבות להשמידם ולכלותם מעל פני האדמה, לכן היו עושים כל ימיהם, להראות אשר שמחים על ההצלה מן הרוצה להשמידם, לא על הנקימה, וזה "אשר החלו לעשות וכו'". והנה המצרים נטבעו בים סוף ביום שביעי של פסח (רש"י שמות יד, ה), ואם היה אומר השם יתברך שיעשו בשביעי מקרא קודש, היה מדמה אדם שהשם צוה לעשות חג לשמוח במפלתם של רשעים. ובאמת הלא מצינו שלא אמרו לפניו שירה, שנאמר "ולא קרב זה אל זה", שאין הקדוש ברוך הוא שמח במפלתם של רשעים. ולכן אמר בארץ מצרים שיעשו חג בשביעי ולהורות שאין החג מסיבת מפלת מצרים בים, שצוה להם טרם שנטבעו בים ודו"ק. וכן מפרש בילקוט רמז תרנ"ד, שלכן לא כתב שמחה בפסח, ואין אומרים הלל כל שבעה משום "בנפול אויבך אל תשמח".</w:t>
      </w:r>
    </w:p>
    <w:p w14:paraId="49B26A84" w14:textId="2814B61F" w:rsidR="00DE4C9F" w:rsidRDefault="00DE4C9F" w:rsidP="00DE4C9F">
      <w:pPr>
        <w:jc w:val="right"/>
        <w:rPr>
          <w:rtl/>
        </w:rPr>
      </w:pPr>
    </w:p>
    <w:p w14:paraId="39906EE2" w14:textId="77777777" w:rsidR="00525C9E" w:rsidRDefault="00525C9E"/>
    <w:sectPr w:rsidR="00525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91421" w14:textId="77777777" w:rsidR="003435BF" w:rsidRDefault="003435BF" w:rsidP="00C66366">
      <w:pPr>
        <w:spacing w:after="0" w:line="240" w:lineRule="auto"/>
      </w:pPr>
      <w:r>
        <w:separator/>
      </w:r>
    </w:p>
  </w:endnote>
  <w:endnote w:type="continuationSeparator" w:id="0">
    <w:p w14:paraId="70B36C24" w14:textId="77777777" w:rsidR="003435BF" w:rsidRDefault="003435BF" w:rsidP="00C6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AB61" w14:textId="77777777" w:rsidR="003435BF" w:rsidRDefault="003435BF" w:rsidP="00C66366">
      <w:pPr>
        <w:spacing w:after="0" w:line="240" w:lineRule="auto"/>
      </w:pPr>
      <w:r>
        <w:separator/>
      </w:r>
    </w:p>
  </w:footnote>
  <w:footnote w:type="continuationSeparator" w:id="0">
    <w:p w14:paraId="0941008A" w14:textId="77777777" w:rsidR="003435BF" w:rsidRDefault="003435BF" w:rsidP="00C66366">
      <w:pPr>
        <w:spacing w:after="0" w:line="240" w:lineRule="auto"/>
      </w:pPr>
      <w:r>
        <w:continuationSeparator/>
      </w:r>
    </w:p>
  </w:footnote>
  <w:footnote w:id="1">
    <w:p w14:paraId="638E6D89" w14:textId="5E72B1D0" w:rsidR="00C66366" w:rsidRPr="005F738A" w:rsidRDefault="00C66366" w:rsidP="00C66366">
      <w:pPr>
        <w:pStyle w:val="FootnoteText"/>
        <w:ind w:right="-360"/>
        <w:rPr>
          <w:sz w:val="16"/>
          <w:szCs w:val="16"/>
        </w:rPr>
      </w:pPr>
      <w:r w:rsidRPr="005F738A">
        <w:rPr>
          <w:rStyle w:val="FootnoteReference"/>
          <w:sz w:val="16"/>
          <w:szCs w:val="16"/>
        </w:rPr>
        <w:footnoteRef/>
      </w:r>
      <w:r w:rsidRPr="005F738A">
        <w:rPr>
          <w:sz w:val="16"/>
          <w:szCs w:val="16"/>
        </w:rPr>
        <w:t xml:space="preserve"> Double star means that the mekor could be found in the separate booklet of </w:t>
      </w:r>
      <w:r w:rsidRPr="005F738A">
        <w:rPr>
          <w:rFonts w:hint="cs"/>
          <w:sz w:val="16"/>
          <w:szCs w:val="16"/>
          <w:rtl/>
        </w:rPr>
        <w:t>פירושים</w:t>
      </w:r>
      <w:r w:rsidRPr="005F738A">
        <w:rPr>
          <w:sz w:val="16"/>
          <w:szCs w:val="16"/>
        </w:rPr>
        <w:t xml:space="preserve"> on the Haggadah</w:t>
      </w:r>
      <w:r>
        <w:rPr>
          <w:sz w:val="16"/>
          <w:szCs w:val="16"/>
        </w:rPr>
        <w:t xml:space="preserve"> (distributed yesterday)</w:t>
      </w:r>
      <w:r w:rsidRPr="005F738A">
        <w:rPr>
          <w:sz w:val="16"/>
          <w:szCs w:val="16"/>
        </w:rPr>
        <w:t>.  The page numbers refer to the pages in the packet.</w:t>
      </w:r>
    </w:p>
  </w:footnote>
  <w:footnote w:id="2">
    <w:p w14:paraId="2F7AD0B2" w14:textId="5862AC1A" w:rsidR="005567CD" w:rsidRPr="005567CD" w:rsidRDefault="005567CD">
      <w:pPr>
        <w:pStyle w:val="FootnoteText"/>
        <w:rPr>
          <w:sz w:val="16"/>
          <w:szCs w:val="16"/>
        </w:rPr>
      </w:pPr>
      <w:r w:rsidRPr="005567CD">
        <w:rPr>
          <w:rStyle w:val="FootnoteReference"/>
          <w:sz w:val="16"/>
          <w:szCs w:val="16"/>
        </w:rPr>
        <w:footnoteRef/>
      </w:r>
      <w:r w:rsidRPr="005567CD">
        <w:rPr>
          <w:sz w:val="16"/>
          <w:szCs w:val="16"/>
        </w:rPr>
        <w:t xml:space="preserve"> Yesterday we focused on the implications of this piece regarding the </w:t>
      </w:r>
      <w:r w:rsidRPr="005567CD">
        <w:rPr>
          <w:rFonts w:hint="cs"/>
          <w:sz w:val="16"/>
          <w:szCs w:val="16"/>
          <w:rtl/>
        </w:rPr>
        <w:t>מח' תנאים</w:t>
      </w:r>
      <w:r w:rsidRPr="005567CD">
        <w:rPr>
          <w:sz w:val="16"/>
          <w:szCs w:val="16"/>
        </w:rPr>
        <w:t xml:space="preserve"> pertaining to </w:t>
      </w:r>
      <w:r w:rsidRPr="005567CD">
        <w:rPr>
          <w:rFonts w:hint="cs"/>
          <w:sz w:val="16"/>
          <w:szCs w:val="16"/>
          <w:rtl/>
        </w:rPr>
        <w:t>לילה</w:t>
      </w:r>
      <w:r w:rsidRPr="005567CD">
        <w:rPr>
          <w:sz w:val="16"/>
          <w:szCs w:val="16"/>
        </w:rPr>
        <w:t>.  In today’s shiur, we will focus on its implications regarding</w:t>
      </w:r>
      <w:r>
        <w:rPr>
          <w:sz w:val="16"/>
          <w:szCs w:val="16"/>
        </w:rPr>
        <w:t xml:space="preserve"> the </w:t>
      </w:r>
      <w:r>
        <w:rPr>
          <w:rFonts w:hint="cs"/>
          <w:sz w:val="16"/>
          <w:szCs w:val="16"/>
          <w:rtl/>
        </w:rPr>
        <w:t>מח'</w:t>
      </w:r>
      <w:r>
        <w:rPr>
          <w:sz w:val="16"/>
          <w:szCs w:val="16"/>
        </w:rPr>
        <w:t xml:space="preserve"> pertaining to</w:t>
      </w:r>
      <w:r w:rsidRPr="005567CD">
        <w:rPr>
          <w:sz w:val="16"/>
          <w:szCs w:val="16"/>
        </w:rPr>
        <w:t xml:space="preserve"> </w:t>
      </w:r>
      <w:r w:rsidRPr="005567CD">
        <w:rPr>
          <w:rFonts w:hint="cs"/>
          <w:sz w:val="16"/>
          <w:szCs w:val="16"/>
          <w:rtl/>
        </w:rPr>
        <w:t>זיצ"מ בימות המשיח</w:t>
      </w:r>
      <w:r>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3A"/>
    <w:rsid w:val="0008472A"/>
    <w:rsid w:val="003435BF"/>
    <w:rsid w:val="004A0BD1"/>
    <w:rsid w:val="00525C9E"/>
    <w:rsid w:val="005567CD"/>
    <w:rsid w:val="007D6665"/>
    <w:rsid w:val="00A834C9"/>
    <w:rsid w:val="00B9703A"/>
    <w:rsid w:val="00C66366"/>
    <w:rsid w:val="00DE4C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520F"/>
  <w15:chartTrackingRefBased/>
  <w15:docId w15:val="{730F850F-FDED-4268-AFA6-4C9B3CE6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0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6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366"/>
    <w:rPr>
      <w:sz w:val="20"/>
      <w:szCs w:val="20"/>
    </w:rPr>
  </w:style>
  <w:style w:type="character" w:styleId="FootnoteReference">
    <w:name w:val="footnote reference"/>
    <w:basedOn w:val="DefaultParagraphFont"/>
    <w:uiPriority w:val="99"/>
    <w:semiHidden/>
    <w:unhideWhenUsed/>
    <w:rsid w:val="00C66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dcterms:created xsi:type="dcterms:W3CDTF">2023-08-13T18:37:00Z</dcterms:created>
  <dcterms:modified xsi:type="dcterms:W3CDTF">2023-08-13T19:37:00Z</dcterms:modified>
</cp:coreProperties>
</file>