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BDDAA" w14:textId="77777777" w:rsidR="003705E0" w:rsidRDefault="008C5B82" w:rsidP="008C5B82">
      <w:pPr>
        <w:pStyle w:val="Title1"/>
        <w:rPr>
          <w:rtl/>
        </w:rPr>
      </w:pPr>
      <w:r>
        <w:rPr>
          <w:rFonts w:hint="cs"/>
          <w:rtl/>
        </w:rPr>
        <w:t>עדי חתימה כרתי או עדי מסירה כרתי</w:t>
      </w:r>
    </w:p>
    <w:p w14:paraId="78A39E51" w14:textId="77777777" w:rsidR="002C629A" w:rsidRPr="002A3F5A" w:rsidRDefault="002C629A" w:rsidP="008C5B82">
      <w:pPr>
        <w:pStyle w:val="Title2"/>
        <w:bidi/>
        <w:rPr>
          <w:rtl/>
        </w:rPr>
      </w:pPr>
      <w:r w:rsidRPr="002A3F5A">
        <w:rPr>
          <w:rtl/>
        </w:rPr>
        <w:t>הגהות אשר"י, גיטין</w:t>
      </w:r>
      <w:bookmarkStart w:id="0" w:name="_GoBack"/>
      <w:bookmarkEnd w:id="0"/>
      <w:r w:rsidRPr="002A3F5A">
        <w:rPr>
          <w:rtl/>
        </w:rPr>
        <w:t xml:space="preserve"> פרק ב'</w:t>
      </w:r>
    </w:p>
    <w:p w14:paraId="37FD8848" w14:textId="77777777" w:rsidR="002C629A" w:rsidRPr="002A3F5A" w:rsidRDefault="002C629A" w:rsidP="002C629A">
      <w:pPr>
        <w:bidi/>
        <w:jc w:val="both"/>
        <w:rPr>
          <w:rFonts w:asciiTheme="majorBidi" w:hAnsiTheme="majorBidi" w:cstheme="majorBidi"/>
          <w:sz w:val="24"/>
          <w:szCs w:val="24"/>
          <w:rtl/>
          <w:lang w:bidi="he-IL"/>
        </w:rPr>
      </w:pPr>
      <w:r w:rsidRPr="002A3F5A">
        <w:rPr>
          <w:rFonts w:asciiTheme="majorBidi" w:hAnsiTheme="majorBidi" w:cstheme="majorBidi"/>
          <w:sz w:val="24"/>
          <w:szCs w:val="24"/>
          <w:rtl/>
          <w:lang w:bidi="he-IL"/>
        </w:rPr>
        <w:t xml:space="preserve">השיב רבינו שמחה, </w:t>
      </w:r>
      <w:r w:rsidRPr="002A3F5A">
        <w:rPr>
          <w:rFonts w:asciiTheme="majorBidi" w:hAnsiTheme="majorBidi" w:cstheme="majorBidi"/>
          <w:b/>
          <w:bCs/>
          <w:sz w:val="24"/>
          <w:szCs w:val="24"/>
          <w:rtl/>
          <w:lang w:bidi="he-IL"/>
        </w:rPr>
        <w:t>גט שלא חתמו העדים בכתב ידן אלא הסופר חתמו כשר</w:t>
      </w:r>
      <w:r w:rsidRPr="002A3F5A">
        <w:rPr>
          <w:rFonts w:asciiTheme="majorBidi" w:hAnsiTheme="majorBidi" w:cstheme="majorBidi"/>
          <w:sz w:val="24"/>
          <w:szCs w:val="24"/>
          <w:rtl/>
          <w:lang w:bidi="he-IL"/>
        </w:rPr>
        <w:t xml:space="preserve"> אפי' לרבי מאיר דאמר עדי חתימה כרתי לא הוה מזוייף מתוכו </w:t>
      </w:r>
      <w:r w:rsidRPr="002A3F5A">
        <w:rPr>
          <w:rFonts w:asciiTheme="majorBidi" w:hAnsiTheme="majorBidi" w:cstheme="majorBidi"/>
          <w:sz w:val="24"/>
          <w:szCs w:val="24"/>
          <w:u w:val="single"/>
          <w:rtl/>
          <w:lang w:bidi="he-IL"/>
        </w:rPr>
        <w:t>דמדרבי אלעזר נשמע לר' מאיר</w:t>
      </w:r>
      <w:r w:rsidRPr="002A3F5A">
        <w:rPr>
          <w:rFonts w:asciiTheme="majorBidi" w:hAnsiTheme="majorBidi" w:cstheme="majorBidi"/>
          <w:sz w:val="24"/>
          <w:szCs w:val="24"/>
          <w:rtl/>
          <w:lang w:bidi="he-IL"/>
        </w:rPr>
        <w:t xml:space="preserve"> כי היכי דלרבי אלעזר משתעי קרא דאיהו בעי למכתב ואפי' הכי בעל משוי שליח לכתיבה ואומר לסופר כתוב גט לאשתי, לרבי מאיר נמי דאמר "וכתב" אעדי חתימה קאי דגופו של גט אפי' מצאו באשפה וכו', </w:t>
      </w:r>
      <w:r w:rsidRPr="002A3F5A">
        <w:rPr>
          <w:rFonts w:asciiTheme="majorBidi" w:hAnsiTheme="majorBidi" w:cstheme="majorBidi"/>
          <w:b/>
          <w:bCs/>
          <w:sz w:val="24"/>
          <w:szCs w:val="24"/>
          <w:rtl/>
          <w:lang w:bidi="he-IL"/>
        </w:rPr>
        <w:t>אם יאמרו לסופר חתום שמינו וחתמו כשר</w:t>
      </w:r>
      <w:r w:rsidRPr="002A3F5A">
        <w:rPr>
          <w:rFonts w:asciiTheme="majorBidi" w:hAnsiTheme="majorBidi" w:cstheme="majorBidi"/>
          <w:sz w:val="24"/>
          <w:szCs w:val="24"/>
          <w:rtl/>
          <w:lang w:bidi="he-IL"/>
        </w:rPr>
        <w:t xml:space="preserve"> כיון דחותמין לפניו והבעל נותנו לאשה לפנינו כשר. </w:t>
      </w:r>
    </w:p>
    <w:p w14:paraId="1461F991" w14:textId="77777777" w:rsidR="002C629A" w:rsidRPr="002A3F5A" w:rsidRDefault="002C629A" w:rsidP="002C629A">
      <w:pPr>
        <w:bidi/>
        <w:jc w:val="both"/>
        <w:rPr>
          <w:rFonts w:asciiTheme="majorBidi" w:hAnsiTheme="majorBidi" w:cstheme="majorBidi"/>
          <w:sz w:val="24"/>
          <w:szCs w:val="24"/>
          <w:rtl/>
          <w:lang w:bidi="he-IL"/>
        </w:rPr>
      </w:pPr>
      <w:r w:rsidRPr="002A3F5A">
        <w:rPr>
          <w:rFonts w:asciiTheme="majorBidi" w:hAnsiTheme="majorBidi" w:cstheme="majorBidi"/>
          <w:sz w:val="24"/>
          <w:szCs w:val="24"/>
          <w:rtl/>
          <w:lang w:bidi="he-IL"/>
        </w:rPr>
        <w:t xml:space="preserve">כיון דלאו לראיה קאי שאם תעבירנו באש לאחר שקיבלתו לאלתר מגורשת והמביא גט ממדינת הים כשם שיכול לאמר על כתב הסופר שלא כתבו הבעל בפני נכתב כך יכול לומר בפני נכתב על חתימת הסופר... </w:t>
      </w:r>
    </w:p>
    <w:p w14:paraId="0DAFE720" w14:textId="77777777" w:rsidR="002C629A" w:rsidRPr="002A3F5A" w:rsidRDefault="002C629A" w:rsidP="002C629A">
      <w:pPr>
        <w:bidi/>
        <w:rPr>
          <w:rFonts w:asciiTheme="majorBidi" w:hAnsiTheme="majorBidi" w:cstheme="majorBidi"/>
          <w:sz w:val="24"/>
          <w:szCs w:val="24"/>
          <w:rtl/>
          <w:lang w:bidi="he-IL"/>
        </w:rPr>
      </w:pPr>
      <w:r w:rsidRPr="002A3F5A">
        <w:rPr>
          <w:rFonts w:asciiTheme="majorBidi" w:hAnsiTheme="majorBidi" w:cstheme="majorBidi"/>
          <w:sz w:val="24"/>
          <w:szCs w:val="24"/>
          <w:rtl/>
          <w:lang w:bidi="he-IL"/>
        </w:rPr>
        <w:t>ומודה רבי אלעזר דעדי חתימה כרתי בלא עדי מסירה דאו עדי חתימה או עדי מסירה כרתי לרבי אלעזר.</w:t>
      </w:r>
    </w:p>
    <w:p w14:paraId="304279FD" w14:textId="77777777" w:rsidR="002C629A" w:rsidRPr="002A3F5A" w:rsidRDefault="002C629A" w:rsidP="002C629A">
      <w:pPr>
        <w:bidi/>
        <w:rPr>
          <w:rFonts w:asciiTheme="majorBidi" w:hAnsiTheme="majorBidi" w:cstheme="majorBidi"/>
          <w:sz w:val="24"/>
          <w:szCs w:val="24"/>
          <w:lang w:bidi="he-IL"/>
        </w:rPr>
      </w:pPr>
      <w:r w:rsidRPr="002A3F5A">
        <w:rPr>
          <w:rFonts w:asciiTheme="majorBidi" w:hAnsiTheme="majorBidi" w:cstheme="majorBidi"/>
          <w:b/>
          <w:bCs/>
          <w:sz w:val="24"/>
          <w:szCs w:val="24"/>
          <w:rtl/>
          <w:lang w:bidi="he-IL"/>
        </w:rPr>
        <w:t>ואין נראה בעיני כלל אלא כל הגט שעדיו אינם חתומין בכתב ידן הרי זה פסול גמור</w:t>
      </w:r>
      <w:r w:rsidRPr="002A3F5A">
        <w:rPr>
          <w:rFonts w:asciiTheme="majorBidi" w:hAnsiTheme="majorBidi" w:cstheme="majorBidi"/>
          <w:sz w:val="24"/>
          <w:szCs w:val="24"/>
          <w:rtl/>
          <w:lang w:bidi="he-IL"/>
        </w:rPr>
        <w:t xml:space="preserve"> כדמוכח באורך אם בא מעשה לידי אני פוסלו מיד. מא"ז</w:t>
      </w:r>
    </w:p>
    <w:p w14:paraId="014E9DB4" w14:textId="77777777" w:rsidR="008C5B82" w:rsidRPr="002A3F5A" w:rsidRDefault="008C5B82" w:rsidP="002C629A">
      <w:pPr>
        <w:pStyle w:val="Title2"/>
        <w:bidi/>
        <w:rPr>
          <w:rtl/>
        </w:rPr>
      </w:pPr>
      <w:r w:rsidRPr="002A3F5A">
        <w:rPr>
          <w:rtl/>
        </w:rPr>
        <w:t>תלמוד בבלי גיטין דף ד.</w:t>
      </w:r>
    </w:p>
    <w:p w14:paraId="4004BE1C" w14:textId="77777777" w:rsidR="008C5B82" w:rsidRPr="002A3F5A" w:rsidRDefault="008C5B82" w:rsidP="008C5B82">
      <w:pPr>
        <w:bidi/>
        <w:rPr>
          <w:rFonts w:asciiTheme="majorBidi" w:hAnsiTheme="majorBidi" w:cstheme="majorBidi"/>
          <w:sz w:val="24"/>
          <w:szCs w:val="24"/>
          <w:rtl/>
          <w:lang w:bidi="he-IL"/>
        </w:rPr>
      </w:pPr>
      <w:r w:rsidRPr="002A3F5A">
        <w:rPr>
          <w:rFonts w:asciiTheme="majorBidi" w:hAnsiTheme="majorBidi" w:cstheme="majorBidi"/>
          <w:sz w:val="24"/>
          <w:szCs w:val="24"/>
          <w:rtl/>
          <w:lang w:bidi="he-IL"/>
        </w:rPr>
        <w:t>אב אשי אמר הא מני ר' יהודה היא דתנן ר' יהודה פוסל עד שתהא כתיבתו וחתימתו בתלוש ומעיקרא מאי טעמא לא מוקמינן לה בר' יהודה מהדרינן אר"מ דסתם מתני' ר"מ מהדרינן אר' אלעזר דקי"ל הילכתא כוותיה בגיטין.</w:t>
      </w:r>
    </w:p>
    <w:p w14:paraId="10FE0919" w14:textId="77777777" w:rsidR="008C5B82" w:rsidRPr="002A3F5A" w:rsidRDefault="008C5B82" w:rsidP="008C5B82">
      <w:pPr>
        <w:pStyle w:val="Title2"/>
        <w:bidi/>
        <w:rPr>
          <w:rtl/>
        </w:rPr>
      </w:pPr>
      <w:r w:rsidRPr="002A3F5A">
        <w:rPr>
          <w:rtl/>
        </w:rPr>
        <w:t>תוספות שם ד"ה דקיימא לן</w:t>
      </w:r>
    </w:p>
    <w:p w14:paraId="7CAFC99D" w14:textId="77777777" w:rsidR="008C5B82" w:rsidRPr="002A3F5A" w:rsidRDefault="002A3F5A" w:rsidP="002A3F5A">
      <w:pPr>
        <w:bidi/>
        <w:jc w:val="both"/>
        <w:rPr>
          <w:rFonts w:asciiTheme="majorBidi" w:hAnsiTheme="majorBidi" w:cstheme="majorBidi"/>
          <w:sz w:val="24"/>
          <w:szCs w:val="24"/>
          <w:rtl/>
          <w:lang w:bidi="he-IL"/>
        </w:rPr>
      </w:pPr>
      <w:r w:rsidRPr="002A3F5A">
        <w:rPr>
          <w:rFonts w:asciiTheme="majorBidi" w:hAnsiTheme="majorBidi" w:cstheme="majorBidi"/>
          <w:sz w:val="24"/>
          <w:szCs w:val="24"/>
          <w:rtl/>
          <w:lang w:bidi="he-IL"/>
        </w:rPr>
        <w:t>דקיימא לן הלכה כר"א בגיטין... ולפיכך צריך ליזהר שיהו עדי מסירה בשעת נתינת הגט דאינהו כרתי דאי ליכא שם עדי מסירה אינה מגורשת אף על גב דאיכא עדי חתימה ולא מהני עדי חתימה אלא שאם ימותו עדי מסירה או ילכו להם למדינת הים שתינשא ע"י עדי חתימה דמסתמא בהכשר נעשה... אלא משמע דלעולם בעי ר' אלעזר עדי מסירה...</w:t>
      </w:r>
    </w:p>
    <w:p w14:paraId="7ED67B73" w14:textId="77777777" w:rsidR="002A3F5A" w:rsidRPr="002A3F5A" w:rsidRDefault="002A3F5A" w:rsidP="002A3F5A">
      <w:pPr>
        <w:pStyle w:val="Title2"/>
        <w:bidi/>
        <w:rPr>
          <w:rtl/>
        </w:rPr>
      </w:pPr>
      <w:r w:rsidRPr="002A3F5A">
        <w:rPr>
          <w:rtl/>
        </w:rPr>
        <w:t>רמב"ם גרושין פרק א'</w:t>
      </w:r>
    </w:p>
    <w:p w14:paraId="054AEEE1" w14:textId="77777777" w:rsidR="002A3F5A" w:rsidRPr="002A3F5A" w:rsidRDefault="002A3F5A" w:rsidP="002A3F5A">
      <w:pPr>
        <w:bidi/>
        <w:rPr>
          <w:rFonts w:asciiTheme="majorBidi" w:hAnsiTheme="majorBidi" w:cstheme="majorBidi"/>
          <w:sz w:val="24"/>
          <w:szCs w:val="24"/>
        </w:rPr>
      </w:pPr>
      <w:r w:rsidRPr="002A3F5A">
        <w:rPr>
          <w:rFonts w:asciiTheme="majorBidi" w:hAnsiTheme="majorBidi" w:cstheme="majorBidi"/>
          <w:sz w:val="24"/>
          <w:szCs w:val="24"/>
          <w:u w:val="single"/>
          <w:rtl/>
          <w:lang w:bidi="he-IL"/>
        </w:rPr>
        <w:t>הלכה טו</w:t>
      </w:r>
      <w:r w:rsidRPr="002A3F5A">
        <w:rPr>
          <w:rFonts w:asciiTheme="majorBidi" w:hAnsiTheme="majorBidi" w:cstheme="majorBidi"/>
          <w:sz w:val="24"/>
          <w:szCs w:val="24"/>
          <w:rtl/>
          <w:lang w:bidi="he-IL"/>
        </w:rPr>
        <w:t xml:space="preserve"> </w:t>
      </w:r>
      <w:r w:rsidRPr="002A3F5A">
        <w:rPr>
          <w:rFonts w:asciiTheme="majorBidi" w:hAnsiTheme="majorBidi" w:cstheme="majorBidi"/>
          <w:sz w:val="24"/>
          <w:szCs w:val="24"/>
          <w:rtl/>
          <w:lang w:bidi="he-IL"/>
        </w:rPr>
        <w:t xml:space="preserve">תקנת חכמים היא שיהיו העדים חותמין על הגט, שמא יתן לה גט בפני שנים וימותו ונמצא הגט שבידה כחרש מחרשי אדמה שהרי אין בו עדים, לפיכך תקנו שיעידו מתוכו, ואף על פי שהעדים בתוכו נותנו לה בפני שנים בין אותן העדים החתומין עליו בין בפני שנים אחרים שעיקר הגירושין בעידי מסירה. </w:t>
      </w:r>
    </w:p>
    <w:p w14:paraId="26BAEA35" w14:textId="77777777" w:rsidR="002A3F5A" w:rsidRPr="002A3F5A" w:rsidRDefault="002A3F5A" w:rsidP="002A3F5A">
      <w:pPr>
        <w:bidi/>
        <w:rPr>
          <w:rFonts w:asciiTheme="majorBidi" w:hAnsiTheme="majorBidi" w:cstheme="majorBidi"/>
          <w:sz w:val="24"/>
          <w:szCs w:val="24"/>
          <w:rtl/>
        </w:rPr>
      </w:pPr>
      <w:r w:rsidRPr="002A3F5A">
        <w:rPr>
          <w:rFonts w:asciiTheme="majorBidi" w:hAnsiTheme="majorBidi" w:cstheme="majorBidi"/>
          <w:sz w:val="24"/>
          <w:szCs w:val="24"/>
          <w:u w:val="single"/>
          <w:rtl/>
          <w:lang w:bidi="he-IL"/>
        </w:rPr>
        <w:t>הלכה טז</w:t>
      </w:r>
      <w:r w:rsidRPr="002A3F5A">
        <w:rPr>
          <w:rFonts w:asciiTheme="majorBidi" w:hAnsiTheme="majorBidi" w:cstheme="majorBidi"/>
          <w:sz w:val="24"/>
          <w:szCs w:val="24"/>
          <w:rtl/>
          <w:lang w:bidi="he-IL"/>
        </w:rPr>
        <w:t xml:space="preserve"> </w:t>
      </w:r>
      <w:r w:rsidRPr="002A3F5A">
        <w:rPr>
          <w:rFonts w:asciiTheme="majorBidi" w:hAnsiTheme="majorBidi" w:cstheme="majorBidi"/>
          <w:b/>
          <w:bCs/>
          <w:sz w:val="24"/>
          <w:szCs w:val="24"/>
          <w:rtl/>
          <w:lang w:bidi="he-IL"/>
        </w:rPr>
        <w:t>חתמו בו שנים ועבר ונתנו לה בינו לבינה או שנמצאו עידי מסירה פסולין הרי זה כשר</w:t>
      </w:r>
      <w:r w:rsidRPr="002A3F5A">
        <w:rPr>
          <w:rFonts w:asciiTheme="majorBidi" w:hAnsiTheme="majorBidi" w:cstheme="majorBidi"/>
          <w:sz w:val="24"/>
          <w:szCs w:val="24"/>
          <w:rtl/>
          <w:lang w:bidi="he-IL"/>
        </w:rPr>
        <w:t xml:space="preserve"> הואיל ועדים שבו כשרין והרי הגט יוצא מתחת ידה, ויש שהורה מן הגאונים שהוא פסול.</w:t>
      </w:r>
    </w:p>
    <w:p w14:paraId="6BB7BD22" w14:textId="77777777" w:rsidR="002A3F5A" w:rsidRPr="002A3F5A" w:rsidRDefault="002A3F5A" w:rsidP="002A3F5A">
      <w:pPr>
        <w:pStyle w:val="Title2"/>
        <w:bidi/>
        <w:rPr>
          <w:rtl/>
        </w:rPr>
      </w:pPr>
      <w:r w:rsidRPr="002A3F5A">
        <w:rPr>
          <w:rtl/>
        </w:rPr>
        <w:t>לחם משנה שם</w:t>
      </w:r>
    </w:p>
    <w:p w14:paraId="02DF9EF1" w14:textId="77777777" w:rsidR="002A3F5A" w:rsidRPr="002A3F5A" w:rsidRDefault="002A3F5A" w:rsidP="002A3F5A">
      <w:pPr>
        <w:bidi/>
        <w:rPr>
          <w:rFonts w:asciiTheme="majorBidi" w:hAnsiTheme="majorBidi" w:cstheme="majorBidi"/>
          <w:sz w:val="24"/>
          <w:szCs w:val="24"/>
          <w:rtl/>
          <w:lang w:bidi="he-IL"/>
        </w:rPr>
      </w:pPr>
      <w:r w:rsidRPr="002A3F5A">
        <w:rPr>
          <w:rFonts w:asciiTheme="majorBidi" w:hAnsiTheme="majorBidi" w:cstheme="majorBidi"/>
          <w:sz w:val="24"/>
          <w:szCs w:val="24"/>
          <w:rtl/>
          <w:lang w:bidi="he-IL"/>
        </w:rPr>
        <w:t>[טז] ויש (מי) שהורה מן הגאונים שהוא פסול וכו'. כלומר כיון דרבנן אמרי בעינן עדי מסירה אם עבר על דברי חכמים פסול ורבינו סובר דהך עדי מסירה לא הוי אלא לכתחלה:</w:t>
      </w:r>
    </w:p>
    <w:p w14:paraId="57E13215" w14:textId="77777777" w:rsidR="002A3F5A" w:rsidRPr="002A3F5A" w:rsidRDefault="002A3F5A" w:rsidP="002A3F5A">
      <w:pPr>
        <w:pStyle w:val="Title2"/>
        <w:bidi/>
        <w:rPr>
          <w:rtl/>
        </w:rPr>
      </w:pPr>
      <w:r w:rsidRPr="002A3F5A">
        <w:rPr>
          <w:rtl/>
        </w:rPr>
        <w:t>דברים פרק כ"ד</w:t>
      </w:r>
    </w:p>
    <w:p w14:paraId="754B21C0" w14:textId="77777777" w:rsidR="002A3F5A" w:rsidRPr="002A3F5A" w:rsidRDefault="002A3F5A" w:rsidP="002A3F5A">
      <w:pPr>
        <w:bidi/>
        <w:rPr>
          <w:rFonts w:asciiTheme="majorBidi" w:hAnsiTheme="majorBidi" w:cstheme="majorBidi"/>
          <w:sz w:val="24"/>
          <w:szCs w:val="24"/>
          <w:rtl/>
          <w:lang w:bidi="he-IL"/>
        </w:rPr>
      </w:pPr>
      <w:r w:rsidRPr="002A3F5A">
        <w:rPr>
          <w:rFonts w:asciiTheme="majorBidi" w:hAnsiTheme="majorBidi" w:cstheme="majorBidi"/>
          <w:sz w:val="24"/>
          <w:szCs w:val="24"/>
          <w:rtl/>
          <w:lang w:bidi="he-IL"/>
        </w:rPr>
        <w:t xml:space="preserve">(א) כִּֽי־יִקַּ֥ח אִ֛ישׁ אִשָּׁ֖ה וּבְעָלָ֑הּ וְהָיָ֞ה אִם־לֹ֧א תִמְצָא־חֵ֣ן בְּעֵינָ֗יו כִּי־מָ֤צָא בָהּ֙ עֶרְוַ֣ת דָּבָ֔ר </w:t>
      </w:r>
      <w:r w:rsidRPr="002A3F5A">
        <w:rPr>
          <w:rFonts w:asciiTheme="majorBidi" w:hAnsiTheme="majorBidi" w:cstheme="majorBidi"/>
          <w:b/>
          <w:bCs/>
          <w:sz w:val="24"/>
          <w:szCs w:val="24"/>
          <w:rtl/>
          <w:lang w:bidi="he-IL"/>
        </w:rPr>
        <w:t>וְכָ֨תַב לָ֜הּ סֵ֤פֶר כְּרִיתֻת֙</w:t>
      </w:r>
      <w:r w:rsidRPr="002A3F5A">
        <w:rPr>
          <w:rFonts w:asciiTheme="majorBidi" w:hAnsiTheme="majorBidi" w:cstheme="majorBidi"/>
          <w:sz w:val="24"/>
          <w:szCs w:val="24"/>
          <w:rtl/>
          <w:lang w:bidi="he-IL"/>
        </w:rPr>
        <w:t xml:space="preserve"> וְנָתַ֣ן בְּיָדָ֔הּ וְשִׁלְּחָ֖הּ מִבֵּיתֽוֹ:</w:t>
      </w:r>
    </w:p>
    <w:p w14:paraId="5E5AB696" w14:textId="77777777" w:rsidR="002A3F5A" w:rsidRPr="002A3F5A" w:rsidRDefault="002A3F5A" w:rsidP="002A3F5A">
      <w:pPr>
        <w:pStyle w:val="Title2"/>
        <w:bidi/>
        <w:rPr>
          <w:rtl/>
        </w:rPr>
      </w:pPr>
      <w:r w:rsidRPr="002A3F5A">
        <w:rPr>
          <w:rtl/>
        </w:rPr>
        <w:t>רש"י, גיטין דף ג:</w:t>
      </w:r>
    </w:p>
    <w:p w14:paraId="591B91CD" w14:textId="77777777" w:rsidR="002A3F5A" w:rsidRPr="002A3F5A" w:rsidRDefault="002A3F5A" w:rsidP="002A3F5A">
      <w:pPr>
        <w:bidi/>
        <w:rPr>
          <w:rFonts w:asciiTheme="majorBidi" w:hAnsiTheme="majorBidi" w:cstheme="majorBidi"/>
          <w:sz w:val="24"/>
          <w:szCs w:val="24"/>
        </w:rPr>
      </w:pPr>
      <w:r w:rsidRPr="002A3F5A">
        <w:rPr>
          <w:rFonts w:asciiTheme="majorBidi" w:hAnsiTheme="majorBidi" w:cstheme="majorBidi"/>
          <w:sz w:val="24"/>
          <w:szCs w:val="24"/>
          <w:rtl/>
          <w:lang w:bidi="he-IL"/>
        </w:rPr>
        <w:t xml:space="preserve">חתימה - לשמה בעי דכי כתיב וכתב לה אחתימה כתיב </w:t>
      </w:r>
      <w:r w:rsidRPr="002A3F5A">
        <w:rPr>
          <w:rFonts w:asciiTheme="majorBidi" w:hAnsiTheme="majorBidi" w:cstheme="majorBidi"/>
          <w:sz w:val="24"/>
          <w:szCs w:val="24"/>
          <w:rtl/>
          <w:lang w:bidi="he-IL"/>
        </w:rPr>
        <w:t>...</w:t>
      </w:r>
    </w:p>
    <w:p w14:paraId="11B5423D" w14:textId="77777777" w:rsidR="002A3F5A" w:rsidRPr="002A3F5A" w:rsidRDefault="002A3F5A" w:rsidP="002A3F5A">
      <w:pPr>
        <w:bidi/>
        <w:rPr>
          <w:rFonts w:asciiTheme="majorBidi" w:hAnsiTheme="majorBidi" w:cstheme="majorBidi"/>
          <w:sz w:val="24"/>
          <w:szCs w:val="24"/>
          <w:rtl/>
          <w:lang w:bidi="he-IL"/>
        </w:rPr>
      </w:pPr>
      <w:r w:rsidRPr="002A3F5A">
        <w:rPr>
          <w:rFonts w:asciiTheme="majorBidi" w:hAnsiTheme="majorBidi" w:cstheme="majorBidi"/>
          <w:sz w:val="24"/>
          <w:szCs w:val="24"/>
          <w:rtl/>
          <w:lang w:bidi="he-IL"/>
        </w:rPr>
        <w:t>ואי ר' אלעזר - דאמר מדאורייתא גט שאין עדיו חתומין עליו כשר אלמא וכתב כתיבה היא דמשמע.</w:t>
      </w:r>
    </w:p>
    <w:sectPr w:rsidR="002A3F5A" w:rsidRPr="002A3F5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65DC0" w14:textId="77777777" w:rsidR="007E6ECA" w:rsidRDefault="007E6ECA" w:rsidP="007E6ECA">
      <w:pPr>
        <w:spacing w:after="0" w:line="240" w:lineRule="auto"/>
      </w:pPr>
      <w:r>
        <w:separator/>
      </w:r>
    </w:p>
  </w:endnote>
  <w:endnote w:type="continuationSeparator" w:id="0">
    <w:p w14:paraId="549C7D42" w14:textId="77777777" w:rsidR="007E6ECA" w:rsidRDefault="007E6ECA" w:rsidP="007E6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93AC5" w14:textId="77777777" w:rsidR="007E6ECA" w:rsidRDefault="007E6ECA" w:rsidP="007E6ECA">
      <w:pPr>
        <w:spacing w:after="0" w:line="240" w:lineRule="auto"/>
      </w:pPr>
      <w:r>
        <w:separator/>
      </w:r>
    </w:p>
  </w:footnote>
  <w:footnote w:type="continuationSeparator" w:id="0">
    <w:p w14:paraId="1AE38F93" w14:textId="77777777" w:rsidR="007E6ECA" w:rsidRDefault="007E6ECA" w:rsidP="007E6E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98E67" w14:textId="3698BF4C" w:rsidR="007E6ECA" w:rsidRPr="007E6ECA" w:rsidRDefault="007E6ECA" w:rsidP="007E6ECA">
    <w:pPr>
      <w:pStyle w:val="Header"/>
      <w:bidi/>
      <w:rPr>
        <w:rFonts w:asciiTheme="majorBidi" w:hAnsiTheme="majorBidi" w:cstheme="majorBidi"/>
      </w:rPr>
    </w:pPr>
    <w:r w:rsidRPr="007E6ECA">
      <w:rPr>
        <w:rFonts w:asciiTheme="majorBidi" w:hAnsiTheme="majorBidi" w:cstheme="majorBidi"/>
        <w:rtl/>
        <w:lang w:bidi="he-IL"/>
      </w:rPr>
      <w:t>בס"ד</w:t>
    </w:r>
  </w:p>
  <w:p w14:paraId="281DA6F0" w14:textId="77777777" w:rsidR="007E6ECA" w:rsidRDefault="007E6E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B82"/>
    <w:rsid w:val="000676B0"/>
    <w:rsid w:val="00183144"/>
    <w:rsid w:val="0021562A"/>
    <w:rsid w:val="002A3F5A"/>
    <w:rsid w:val="002C629A"/>
    <w:rsid w:val="003705E0"/>
    <w:rsid w:val="007E6ECA"/>
    <w:rsid w:val="008C5B82"/>
    <w:rsid w:val="00975377"/>
    <w:rsid w:val="00C54E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E9C46"/>
  <w15:chartTrackingRefBased/>
  <w15:docId w15:val="{0ADE1577-C0B0-4284-B9C6-A859A024A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4E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C54EEE"/>
    <w:pPr>
      <w:keepNext/>
      <w:keepLines/>
      <w:bidi/>
      <w:spacing w:before="40" w:after="0"/>
      <w:outlineLvl w:val="1"/>
    </w:pPr>
    <w:rPr>
      <w:rFonts w:asciiTheme="majorBidi" w:eastAsiaTheme="majorEastAsia" w:hAnsiTheme="majorBidi" w:cstheme="majorBidi"/>
      <w:b/>
      <w:bCs/>
      <w:color w:val="595959" w:themeColor="text1" w:themeTint="A6"/>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5377"/>
    <w:pPr>
      <w:spacing w:after="0" w:line="240" w:lineRule="auto"/>
      <w:contextualSpacing/>
      <w:jc w:val="center"/>
    </w:pPr>
    <w:rPr>
      <w:rFonts w:asciiTheme="majorBidi" w:eastAsiaTheme="majorEastAsia" w:hAnsiTheme="majorBidi" w:cstheme="majorBidi"/>
      <w:b/>
      <w:bCs/>
      <w:spacing w:val="-10"/>
      <w:kern w:val="28"/>
      <w:sz w:val="28"/>
      <w:szCs w:val="56"/>
      <w:u w:val="single"/>
    </w:rPr>
  </w:style>
  <w:style w:type="character" w:customStyle="1" w:styleId="TitleChar">
    <w:name w:val="Title Char"/>
    <w:basedOn w:val="DefaultParagraphFont"/>
    <w:link w:val="Title"/>
    <w:uiPriority w:val="10"/>
    <w:rsid w:val="00975377"/>
    <w:rPr>
      <w:rFonts w:asciiTheme="majorBidi" w:eastAsiaTheme="majorEastAsia" w:hAnsiTheme="majorBidi" w:cstheme="majorBidi"/>
      <w:b/>
      <w:bCs/>
      <w:spacing w:val="-10"/>
      <w:kern w:val="28"/>
      <w:sz w:val="28"/>
      <w:szCs w:val="56"/>
      <w:u w:val="single"/>
    </w:rPr>
  </w:style>
  <w:style w:type="paragraph" w:styleId="Subtitle">
    <w:name w:val="Subtitle"/>
    <w:basedOn w:val="Normal"/>
    <w:next w:val="Normal"/>
    <w:link w:val="SubtitleChar"/>
    <w:autoRedefine/>
    <w:uiPriority w:val="11"/>
    <w:qFormat/>
    <w:rsid w:val="000676B0"/>
    <w:pPr>
      <w:numPr>
        <w:ilvl w:val="1"/>
      </w:numPr>
    </w:pPr>
    <w:rPr>
      <w:rFonts w:asciiTheme="majorBidi" w:eastAsiaTheme="majorEastAsia" w:hAnsiTheme="majorBidi" w:cstheme="majorBidi"/>
      <w:b/>
      <w:color w:val="000000" w:themeColor="text1"/>
      <w:spacing w:val="15"/>
      <w:sz w:val="24"/>
      <w:szCs w:val="24"/>
      <w:u w:val="single"/>
      <w:lang w:bidi="he-IL"/>
    </w:rPr>
  </w:style>
  <w:style w:type="character" w:customStyle="1" w:styleId="SubtitleChar">
    <w:name w:val="Subtitle Char"/>
    <w:basedOn w:val="DefaultParagraphFont"/>
    <w:link w:val="Subtitle"/>
    <w:uiPriority w:val="11"/>
    <w:rsid w:val="000676B0"/>
    <w:rPr>
      <w:rFonts w:asciiTheme="majorBidi" w:eastAsiaTheme="majorEastAsia" w:hAnsiTheme="majorBidi" w:cstheme="majorBidi"/>
      <w:b/>
      <w:color w:val="000000" w:themeColor="text1"/>
      <w:spacing w:val="15"/>
      <w:sz w:val="24"/>
      <w:szCs w:val="24"/>
      <w:u w:val="single"/>
      <w:lang w:bidi="he-IL"/>
    </w:rPr>
  </w:style>
  <w:style w:type="paragraph" w:customStyle="1" w:styleId="Title1">
    <w:name w:val="Title 1"/>
    <w:basedOn w:val="Heading1"/>
    <w:next w:val="Normal"/>
    <w:autoRedefine/>
    <w:qFormat/>
    <w:rsid w:val="008C5B82"/>
    <w:pPr>
      <w:spacing w:line="240" w:lineRule="auto"/>
      <w:ind w:left="720" w:hanging="720"/>
      <w:contextualSpacing/>
      <w:jc w:val="center"/>
    </w:pPr>
    <w:rPr>
      <w:rFonts w:asciiTheme="majorBidi" w:hAnsiTheme="majorBidi"/>
      <w:b/>
      <w:bCs/>
      <w:color w:val="auto"/>
      <w:sz w:val="28"/>
      <w:szCs w:val="28"/>
      <w:u w:val="single"/>
      <w:lang w:bidi="he-IL"/>
    </w:rPr>
  </w:style>
  <w:style w:type="character" w:customStyle="1" w:styleId="Heading1Char">
    <w:name w:val="Heading 1 Char"/>
    <w:basedOn w:val="DefaultParagraphFont"/>
    <w:link w:val="Heading1"/>
    <w:uiPriority w:val="9"/>
    <w:rsid w:val="00C54EEE"/>
    <w:rPr>
      <w:rFonts w:asciiTheme="majorHAnsi" w:eastAsiaTheme="majorEastAsia" w:hAnsiTheme="majorHAnsi" w:cstheme="majorBidi"/>
      <w:color w:val="2F5496" w:themeColor="accent1" w:themeShade="BF"/>
      <w:sz w:val="32"/>
      <w:szCs w:val="32"/>
    </w:rPr>
  </w:style>
  <w:style w:type="paragraph" w:customStyle="1" w:styleId="Title2">
    <w:name w:val="Title 2"/>
    <w:basedOn w:val="Heading1"/>
    <w:next w:val="Normal"/>
    <w:autoRedefine/>
    <w:qFormat/>
    <w:rsid w:val="00183144"/>
    <w:pPr>
      <w:spacing w:line="240" w:lineRule="auto"/>
      <w:contextualSpacing/>
    </w:pPr>
    <w:rPr>
      <w:rFonts w:asciiTheme="majorBidi" w:hAnsiTheme="majorBidi"/>
      <w:b/>
      <w:bCs/>
      <w:color w:val="auto"/>
      <w:sz w:val="24"/>
      <w:szCs w:val="24"/>
      <w:u w:val="single"/>
      <w:lang w:bidi="he-IL"/>
    </w:rPr>
  </w:style>
  <w:style w:type="character" w:customStyle="1" w:styleId="Heading2Char">
    <w:name w:val="Heading 2 Char"/>
    <w:basedOn w:val="DefaultParagraphFont"/>
    <w:link w:val="Heading2"/>
    <w:uiPriority w:val="9"/>
    <w:rsid w:val="00C54EEE"/>
    <w:rPr>
      <w:rFonts w:asciiTheme="majorBidi" w:eastAsiaTheme="majorEastAsia" w:hAnsiTheme="majorBidi" w:cstheme="majorBidi"/>
      <w:b/>
      <w:bCs/>
      <w:color w:val="595959" w:themeColor="text1" w:themeTint="A6"/>
      <w:sz w:val="24"/>
      <w:szCs w:val="24"/>
      <w:u w:val="single"/>
    </w:rPr>
  </w:style>
  <w:style w:type="paragraph" w:styleId="Header">
    <w:name w:val="header"/>
    <w:basedOn w:val="Normal"/>
    <w:link w:val="HeaderChar"/>
    <w:uiPriority w:val="99"/>
    <w:unhideWhenUsed/>
    <w:rsid w:val="007E6E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ECA"/>
  </w:style>
  <w:style w:type="paragraph" w:styleId="Footer">
    <w:name w:val="footer"/>
    <w:basedOn w:val="Normal"/>
    <w:link w:val="FooterChar"/>
    <w:uiPriority w:val="99"/>
    <w:unhideWhenUsed/>
    <w:rsid w:val="007E6E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Schrier</dc:creator>
  <cp:keywords/>
  <dc:description/>
  <cp:lastModifiedBy>Rabbi Schrier</cp:lastModifiedBy>
  <cp:revision>2</cp:revision>
  <dcterms:created xsi:type="dcterms:W3CDTF">2023-05-23T00:06:00Z</dcterms:created>
  <dcterms:modified xsi:type="dcterms:W3CDTF">2023-05-23T00:57:00Z</dcterms:modified>
</cp:coreProperties>
</file>