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EC1" w:rsidRPr="00960EC1" w:rsidRDefault="00960EC1" w:rsidP="00960EC1">
      <w:pPr>
        <w:bidi/>
        <w:jc w:val="center"/>
        <w:rPr>
          <w:rFonts w:ascii="David" w:hAnsi="David" w:cs="David"/>
          <w:b/>
          <w:bCs/>
          <w:i/>
          <w:iCs/>
          <w:sz w:val="32"/>
          <w:szCs w:val="32"/>
        </w:rPr>
      </w:pPr>
      <w:r w:rsidRPr="00960EC1">
        <w:rPr>
          <w:rFonts w:ascii="David" w:hAnsi="David" w:cs="David"/>
          <w:b/>
          <w:bCs/>
          <w:i/>
          <w:iCs/>
          <w:sz w:val="32"/>
          <w:szCs w:val="32"/>
        </w:rPr>
        <w:t>THE MITZVAH OF KEVURA</w:t>
      </w:r>
    </w:p>
    <w:p w:rsidR="00960EC1" w:rsidRDefault="00960EC1" w:rsidP="00960EC1">
      <w:pPr>
        <w:bidi/>
        <w:rPr>
          <w:rFonts w:ascii="David" w:hAnsi="David" w:cs="David"/>
          <w:sz w:val="28"/>
          <w:szCs w:val="28"/>
          <w:rtl/>
        </w:rPr>
      </w:pPr>
    </w:p>
    <w:p w:rsidR="00F11C3D" w:rsidRPr="00960EC1" w:rsidRDefault="00960EC1" w:rsidP="00960EC1">
      <w:pPr>
        <w:bidi/>
        <w:rPr>
          <w:rFonts w:ascii="David" w:hAnsi="David" w:cs="David"/>
          <w:b/>
          <w:bCs/>
          <w:sz w:val="28"/>
          <w:szCs w:val="28"/>
          <w:u w:val="single"/>
        </w:rPr>
      </w:pPr>
      <w:r>
        <w:rPr>
          <w:rFonts w:ascii="David" w:hAnsi="David" w:cs="David" w:hint="cs"/>
          <w:b/>
          <w:bCs/>
          <w:sz w:val="28"/>
          <w:szCs w:val="28"/>
          <w:u w:val="single"/>
          <w:rtl/>
        </w:rPr>
        <w:t>(1)</w:t>
      </w:r>
      <w:r w:rsidR="00F11C3D" w:rsidRPr="00960EC1">
        <w:rPr>
          <w:rFonts w:ascii="David" w:hAnsi="David" w:cs="David"/>
          <w:b/>
          <w:bCs/>
          <w:sz w:val="28"/>
          <w:szCs w:val="28"/>
          <w:u w:val="single"/>
          <w:rtl/>
        </w:rPr>
        <w:t>דברים פרק כא</w:t>
      </w:r>
      <w:r w:rsidR="00F11C3D" w:rsidRPr="00960EC1">
        <w:rPr>
          <w:rFonts w:ascii="David" w:hAnsi="David" w:cs="David"/>
          <w:b/>
          <w:bCs/>
          <w:sz w:val="28"/>
          <w:szCs w:val="28"/>
          <w:u w:val="single"/>
        </w:rPr>
        <w:t xml:space="preserve"> </w:t>
      </w:r>
    </w:p>
    <w:p w:rsidR="00FE7D46" w:rsidRDefault="00F11C3D" w:rsidP="00960EC1">
      <w:pPr>
        <w:bidi/>
        <w:rPr>
          <w:rFonts w:ascii="David" w:hAnsi="David" w:cs="David"/>
          <w:sz w:val="28"/>
          <w:szCs w:val="28"/>
        </w:rPr>
      </w:pPr>
      <w:r w:rsidRPr="00F11C3D">
        <w:rPr>
          <w:rFonts w:ascii="David" w:hAnsi="David" w:cs="David"/>
          <w:sz w:val="28"/>
          <w:szCs w:val="28"/>
          <w:rtl/>
        </w:rPr>
        <w:t>(כב) וְכִי יִהְיֶה בְאִישׁ חֵטְא מִשְׁפַּט מָוֶת וְהוּמָת וְתָלִיתָ אֹתוֹ עַל עֵץ</w:t>
      </w:r>
      <w:r w:rsidRPr="00F11C3D">
        <w:rPr>
          <w:rFonts w:ascii="David" w:hAnsi="David" w:cs="David"/>
          <w:sz w:val="28"/>
          <w:szCs w:val="28"/>
        </w:rPr>
        <w:t>:</w:t>
      </w:r>
      <w:r w:rsidRPr="00F11C3D">
        <w:rPr>
          <w:rFonts w:ascii="David" w:hAnsi="David" w:cs="David"/>
          <w:sz w:val="28"/>
          <w:szCs w:val="28"/>
        </w:rPr>
        <w:t xml:space="preserve"> </w:t>
      </w:r>
      <w:r w:rsidRPr="00F11C3D">
        <w:rPr>
          <w:rFonts w:ascii="David" w:hAnsi="David" w:cs="David"/>
          <w:sz w:val="28"/>
          <w:szCs w:val="28"/>
          <w:rtl/>
        </w:rPr>
        <w:t>(כג) לֹא תָלִין נִבְלָתוֹ עַל הָעֵץ כִּי קָבוֹר תִּקְבְּרֶנּוּ בַּיּוֹם הַהוּא כִּי קִלְלַת אֱלֹהִים תָּלוּי וְלֹא תְטַמֵּא אֶת אַדְמָתְךָ אֲשֶׁר יְקֹוָק אֱלֹהֶיךָ נֹתֵן לְךָ נַחֲלָה</w:t>
      </w:r>
      <w:r w:rsidRPr="00F11C3D">
        <w:rPr>
          <w:rFonts w:ascii="David" w:hAnsi="David" w:cs="David"/>
          <w:sz w:val="28"/>
          <w:szCs w:val="28"/>
        </w:rPr>
        <w:t>:</w:t>
      </w:r>
    </w:p>
    <w:p w:rsidR="00F11C3D" w:rsidRPr="00960EC1" w:rsidRDefault="00960EC1" w:rsidP="00960EC1">
      <w:pPr>
        <w:bidi/>
        <w:rPr>
          <w:rFonts w:ascii="David" w:hAnsi="David" w:cs="David"/>
          <w:b/>
          <w:bCs/>
          <w:sz w:val="28"/>
          <w:szCs w:val="28"/>
          <w:u w:val="single"/>
          <w:rtl/>
        </w:rPr>
      </w:pPr>
      <w:r w:rsidRPr="00960EC1">
        <w:rPr>
          <w:rFonts w:ascii="David" w:hAnsi="David" w:cs="David" w:hint="cs"/>
          <w:b/>
          <w:bCs/>
          <w:sz w:val="28"/>
          <w:szCs w:val="28"/>
          <w:u w:val="single"/>
          <w:rtl/>
        </w:rPr>
        <w:t>(2)</w:t>
      </w:r>
      <w:r w:rsidRPr="00960EC1">
        <w:rPr>
          <w:rFonts w:ascii="David" w:hAnsi="David" w:cs="David" w:hint="cs"/>
          <w:b/>
          <w:bCs/>
          <w:sz w:val="28"/>
          <w:szCs w:val="28"/>
          <w:u w:val="single"/>
        </w:rPr>
        <w:t xml:space="preserve"> </w:t>
      </w:r>
      <w:r w:rsidR="00F11C3D" w:rsidRPr="00960EC1">
        <w:rPr>
          <w:rFonts w:ascii="David" w:hAnsi="David" w:cs="David"/>
          <w:b/>
          <w:bCs/>
          <w:sz w:val="28"/>
          <w:szCs w:val="28"/>
          <w:u w:val="single"/>
          <w:rtl/>
        </w:rPr>
        <w:t>רש"י דברים פרק כא פסוק כג</w:t>
      </w:r>
      <w:r w:rsidR="00F11C3D" w:rsidRPr="00960EC1">
        <w:rPr>
          <w:rFonts w:ascii="David" w:hAnsi="David" w:cs="David"/>
          <w:b/>
          <w:bCs/>
          <w:sz w:val="28"/>
          <w:szCs w:val="28"/>
          <w:u w:val="single"/>
        </w:rPr>
        <w:t xml:space="preserve"> </w:t>
      </w:r>
    </w:p>
    <w:p w:rsidR="00F11C3D" w:rsidRDefault="00F11C3D" w:rsidP="00960EC1">
      <w:pPr>
        <w:bidi/>
        <w:rPr>
          <w:rFonts w:ascii="David" w:hAnsi="David" w:cs="David"/>
          <w:sz w:val="28"/>
          <w:szCs w:val="28"/>
        </w:rPr>
      </w:pPr>
      <w:r w:rsidRPr="00F11C3D">
        <w:rPr>
          <w:rFonts w:ascii="David" w:hAnsi="David" w:cs="David"/>
          <w:sz w:val="28"/>
          <w:szCs w:val="28"/>
          <w:rtl/>
        </w:rPr>
        <w:t>(כג) כי קללת אלהים תלוי - זלזולו של מלך הוא, שאדם עשוי בדמות דיוקנו וישראל הם בניו. משל לשני אחים תאומים שהיו דומין זה לזה, אחד נעשה מלך, ואחד נתפס ללסטיות ונתלה, כל הרואה אותו אומר המלך תלוי.</w:t>
      </w:r>
    </w:p>
    <w:p w:rsidR="008E50A7" w:rsidRPr="00960EC1" w:rsidRDefault="00960EC1" w:rsidP="00960EC1">
      <w:pPr>
        <w:bidi/>
        <w:rPr>
          <w:rFonts w:ascii="David" w:hAnsi="David" w:cs="David"/>
          <w:b/>
          <w:bCs/>
          <w:sz w:val="28"/>
          <w:szCs w:val="28"/>
          <w:u w:val="single"/>
          <w:rtl/>
        </w:rPr>
      </w:pPr>
      <w:r w:rsidRPr="00960EC1">
        <w:rPr>
          <w:rFonts w:ascii="David" w:hAnsi="David" w:cs="David" w:hint="cs"/>
          <w:b/>
          <w:bCs/>
          <w:sz w:val="28"/>
          <w:szCs w:val="28"/>
          <w:u w:val="single"/>
          <w:rtl/>
        </w:rPr>
        <w:t xml:space="preserve">(3) </w:t>
      </w:r>
      <w:r w:rsidR="008E50A7" w:rsidRPr="00960EC1">
        <w:rPr>
          <w:rFonts w:ascii="David" w:hAnsi="David" w:cs="David"/>
          <w:b/>
          <w:bCs/>
          <w:sz w:val="28"/>
          <w:szCs w:val="28"/>
          <w:u w:val="single"/>
          <w:rtl/>
        </w:rPr>
        <w:t>ספר המצוות לרמב"ם מצות עשה רלא</w:t>
      </w:r>
      <w:r w:rsidR="008E50A7" w:rsidRPr="00960EC1">
        <w:rPr>
          <w:rFonts w:ascii="David" w:hAnsi="David" w:cs="David"/>
          <w:b/>
          <w:bCs/>
          <w:sz w:val="28"/>
          <w:szCs w:val="28"/>
          <w:u w:val="single"/>
        </w:rPr>
        <w:t xml:space="preserve"> </w:t>
      </w:r>
    </w:p>
    <w:p w:rsidR="00F11C3D" w:rsidRDefault="008E50A7" w:rsidP="00960EC1">
      <w:pPr>
        <w:bidi/>
        <w:rPr>
          <w:rFonts w:ascii="David" w:hAnsi="David" w:cs="David"/>
          <w:sz w:val="28"/>
          <w:szCs w:val="28"/>
        </w:rPr>
      </w:pPr>
      <w:r w:rsidRPr="008E50A7">
        <w:rPr>
          <w:rFonts w:ascii="David" w:hAnsi="David" w:cs="David"/>
          <w:sz w:val="28"/>
          <w:szCs w:val="28"/>
          <w:rtl/>
        </w:rPr>
        <w:t>והמצוה הרל"א היא שצונו לקבור הרוגי בית דין ביום שייהרגו והוא אמרו יתעלה (שם) כי קבור תקברנו ביום ההוא. ולשון ספרי כי קבור תקברנו מצות עשה. והוא הדין בשאר המתים. כלומר שייקבר כל מת מישראל ביום מותו. ולכן ייקרא המת שאין מי שיתעסק בקבורתו מת מצוה כלומר המת שמצוה על כל אדם לקברו לאמרו יתעלה קבור תקברנו.</w:t>
      </w:r>
    </w:p>
    <w:p w:rsidR="008E50A7" w:rsidRPr="00001284" w:rsidRDefault="00960EC1" w:rsidP="00960EC1">
      <w:pPr>
        <w:bidi/>
        <w:rPr>
          <w:rFonts w:ascii="David" w:hAnsi="David" w:cs="David"/>
          <w:b/>
          <w:bCs/>
          <w:sz w:val="28"/>
          <w:szCs w:val="28"/>
          <w:u w:val="single"/>
          <w:rtl/>
        </w:rPr>
      </w:pPr>
      <w:r w:rsidRPr="00001284">
        <w:rPr>
          <w:rFonts w:ascii="David" w:hAnsi="David" w:cs="David" w:hint="cs"/>
          <w:b/>
          <w:bCs/>
          <w:sz w:val="28"/>
          <w:szCs w:val="28"/>
          <w:u w:val="single"/>
          <w:rtl/>
        </w:rPr>
        <w:t xml:space="preserve">(4) </w:t>
      </w:r>
      <w:r w:rsidR="008E50A7" w:rsidRPr="00001284">
        <w:rPr>
          <w:rFonts w:ascii="David" w:hAnsi="David" w:cs="David"/>
          <w:b/>
          <w:bCs/>
          <w:sz w:val="28"/>
          <w:szCs w:val="28"/>
          <w:u w:val="single"/>
          <w:rtl/>
        </w:rPr>
        <w:t>רמב"ם הלכות אבל פרק יב</w:t>
      </w:r>
      <w:r w:rsidR="008E50A7" w:rsidRPr="00001284">
        <w:rPr>
          <w:rFonts w:ascii="David" w:hAnsi="David" w:cs="David"/>
          <w:b/>
          <w:bCs/>
          <w:sz w:val="28"/>
          <w:szCs w:val="28"/>
          <w:u w:val="single"/>
        </w:rPr>
        <w:t xml:space="preserve"> </w:t>
      </w:r>
      <w:r w:rsidR="008E50A7" w:rsidRPr="00001284">
        <w:rPr>
          <w:rFonts w:ascii="David" w:hAnsi="David" w:cs="David"/>
          <w:b/>
          <w:bCs/>
          <w:sz w:val="28"/>
          <w:szCs w:val="28"/>
          <w:u w:val="single"/>
          <w:rtl/>
        </w:rPr>
        <w:t>הלכה א</w:t>
      </w:r>
    </w:p>
    <w:p w:rsidR="008E50A7" w:rsidRDefault="008E50A7" w:rsidP="00960EC1">
      <w:pPr>
        <w:bidi/>
        <w:rPr>
          <w:rFonts w:ascii="David" w:hAnsi="David" w:cs="David"/>
          <w:sz w:val="28"/>
          <w:szCs w:val="28"/>
        </w:rPr>
      </w:pPr>
      <w:r w:rsidRPr="008E50A7">
        <w:rPr>
          <w:rFonts w:ascii="David" w:hAnsi="David" w:cs="David"/>
          <w:sz w:val="28"/>
          <w:szCs w:val="28"/>
          <w:rtl/>
        </w:rPr>
        <w:t>ההספד כבוד המת הוא, לפיכך כופין את היורשין ליתן שכר מקוננים והמקוננות וסופדין אותו, ואם צוה שלא יספדוהו אין סופדין אותו, אבל אם צוה שלא יקבר אין שומעין לו, שהקבורה א מצוה שנאמר כי קבור תקברנו.</w:t>
      </w:r>
    </w:p>
    <w:p w:rsidR="00FB2FC7"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 xml:space="preserve">(5) </w:t>
      </w:r>
      <w:r w:rsidR="00FB2FC7" w:rsidRPr="00001284">
        <w:rPr>
          <w:rFonts w:ascii="David" w:hAnsi="David" w:cs="David"/>
          <w:b/>
          <w:bCs/>
          <w:sz w:val="28"/>
          <w:szCs w:val="28"/>
          <w:u w:val="single"/>
          <w:rtl/>
        </w:rPr>
        <w:t>שו"ת רדב"ז חלק א סימן שיא</w:t>
      </w:r>
      <w:r w:rsidR="00FB2FC7" w:rsidRPr="00001284">
        <w:rPr>
          <w:rFonts w:ascii="David" w:hAnsi="David" w:cs="David"/>
          <w:b/>
          <w:bCs/>
          <w:sz w:val="28"/>
          <w:szCs w:val="28"/>
          <w:u w:val="single"/>
        </w:rPr>
        <w:t xml:space="preserve"> </w:t>
      </w:r>
    </w:p>
    <w:p w:rsidR="00FB2FC7" w:rsidRDefault="00FB2FC7" w:rsidP="00960EC1">
      <w:pPr>
        <w:bidi/>
        <w:rPr>
          <w:rFonts w:ascii="David" w:hAnsi="David" w:cs="David"/>
          <w:sz w:val="28"/>
          <w:szCs w:val="28"/>
        </w:rPr>
      </w:pPr>
      <w:r w:rsidRPr="00FB2FC7">
        <w:rPr>
          <w:rFonts w:ascii="David" w:hAnsi="David" w:cs="David"/>
          <w:sz w:val="28"/>
          <w:szCs w:val="28"/>
          <w:rtl/>
        </w:rPr>
        <w:t>דדוקא לגבי הרוגי ב"ד איכא לאו ועשה אבל גבי מלין את מתו אין שם אלא לאו לבד וכן תמצא שלא הזכירו בתלמוד ולא הפוסקים אלא כל המלין את מתו עובר בלאו והיה להם לומר ומצות עשה לקוברו ביום המיתה. וטעמא דמלתא דבשלמא הרוגי ב"ד היו דנין אותם בבקר ויש שהות ביום לקוברם ואף על גב דלכתחילה היו משהין אותו עד סמוך לשקיעת החמה כדי שלא יתרשלו כל היום כדתניא בברייתא מ"מ בעוד היום היו קוברין אותו דודאי לא היו עוברים על עשה דקבור תקברנו ביום ההוא. אבל במיתה איפשר שימות סמוך לשקיעת החמה ואי איפשר לקיים בו כי קבור תקברנו ביום ההוא</w:t>
      </w:r>
    </w:p>
    <w:p w:rsidR="00FB2FC7"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(6)</w:t>
      </w:r>
      <w:r w:rsidRPr="00001284">
        <w:rPr>
          <w:rFonts w:ascii="David" w:hAnsi="David" w:cs="David" w:hint="cs"/>
          <w:b/>
          <w:bCs/>
          <w:sz w:val="28"/>
          <w:szCs w:val="28"/>
          <w:u w:val="single"/>
        </w:rPr>
        <w:t xml:space="preserve"> </w:t>
      </w:r>
      <w:r w:rsidR="00FB2FC7" w:rsidRPr="00001284">
        <w:rPr>
          <w:rFonts w:ascii="David" w:hAnsi="David" w:cs="David"/>
          <w:b/>
          <w:bCs/>
          <w:sz w:val="28"/>
          <w:szCs w:val="28"/>
          <w:u w:val="single"/>
          <w:rtl/>
        </w:rPr>
        <w:t>תלמוד בבלי מסכת סנהדרין דף מו עמוד ב</w:t>
      </w:r>
      <w:r w:rsidR="00FB2FC7" w:rsidRPr="00001284">
        <w:rPr>
          <w:rFonts w:ascii="David" w:hAnsi="David" w:cs="David"/>
          <w:b/>
          <w:bCs/>
          <w:sz w:val="28"/>
          <w:szCs w:val="28"/>
          <w:u w:val="single"/>
        </w:rPr>
        <w:t xml:space="preserve"> </w:t>
      </w:r>
    </w:p>
    <w:p w:rsidR="00FB2FC7" w:rsidRDefault="00FB2FC7" w:rsidP="00960EC1">
      <w:pPr>
        <w:bidi/>
        <w:rPr>
          <w:rFonts w:ascii="David" w:hAnsi="David" w:cs="David"/>
          <w:sz w:val="28"/>
          <w:szCs w:val="28"/>
        </w:rPr>
      </w:pPr>
      <w:r w:rsidRPr="00FB2FC7">
        <w:rPr>
          <w:rFonts w:ascii="David" w:hAnsi="David" w:cs="David"/>
          <w:sz w:val="28"/>
          <w:szCs w:val="28"/>
          <w:rtl/>
        </w:rPr>
        <w:t xml:space="preserve"> אמר רבי יוחנן משום רבי שמעון בן יוחי: מנין למלין את מתו שעובר עליו בלא תעשה - תלמוד לומר כי קבור תקברנו - מכאן למלין את מתו שעובר בלא תעשה. איכא דאמרי, אמר רבי יוחנן משום רבי שמעון בן יוחי: רמז לקבורה מן התורה מניין - תלמוד לומר כי קבור תקברנו מכאן רמז לקבורה מן התורה.</w:t>
      </w:r>
    </w:p>
    <w:p w:rsidR="00FB2FC7"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(7)</w:t>
      </w:r>
      <w:r w:rsidRPr="00001284">
        <w:rPr>
          <w:rFonts w:ascii="David" w:hAnsi="David" w:cs="David" w:hint="cs"/>
          <w:b/>
          <w:bCs/>
          <w:sz w:val="28"/>
          <w:szCs w:val="28"/>
          <w:u w:val="single"/>
        </w:rPr>
        <w:t xml:space="preserve"> </w:t>
      </w:r>
      <w:r w:rsidR="00FB2FC7" w:rsidRPr="00001284">
        <w:rPr>
          <w:rFonts w:ascii="David" w:hAnsi="David" w:cs="David"/>
          <w:b/>
          <w:bCs/>
          <w:sz w:val="28"/>
          <w:szCs w:val="28"/>
          <w:u w:val="single"/>
          <w:rtl/>
        </w:rPr>
        <w:t>רמב"ם הלכות אבל פרק יד הלכה א</w:t>
      </w:r>
      <w:r w:rsidR="00FB2FC7" w:rsidRPr="00001284">
        <w:rPr>
          <w:rFonts w:ascii="David" w:hAnsi="David" w:cs="David"/>
          <w:b/>
          <w:bCs/>
          <w:sz w:val="28"/>
          <w:szCs w:val="28"/>
          <w:u w:val="single"/>
        </w:rPr>
        <w:t xml:space="preserve"> </w:t>
      </w:r>
    </w:p>
    <w:p w:rsidR="00FB2FC7" w:rsidRDefault="00FB2FC7" w:rsidP="00960EC1">
      <w:pPr>
        <w:bidi/>
        <w:rPr>
          <w:rFonts w:ascii="David" w:hAnsi="David" w:cs="David"/>
          <w:sz w:val="28"/>
          <w:szCs w:val="28"/>
        </w:rPr>
      </w:pPr>
      <w:r w:rsidRPr="00FB2FC7">
        <w:rPr>
          <w:rFonts w:ascii="David" w:hAnsi="David" w:cs="David"/>
          <w:sz w:val="28"/>
          <w:szCs w:val="28"/>
          <w:rtl/>
        </w:rPr>
        <w:t xml:space="preserve">מצות עשה של דבריהם לבקר חולים, ולנחם אבלים, ולהוציא המת, ולהכניס הכלה, וללוות האורחים, ולהתעסק בכל צרכי הקבורה, לשאת על הכתף, ולילך לפניו ולספוד ולחפור ולקבור, </w:t>
      </w:r>
      <w:r w:rsidRPr="00FB2FC7">
        <w:rPr>
          <w:rFonts w:ascii="David" w:hAnsi="David" w:cs="David"/>
          <w:sz w:val="28"/>
          <w:szCs w:val="28"/>
          <w:rtl/>
        </w:rPr>
        <w:lastRenderedPageBreak/>
        <w:t>וכן לשמח הכלה והחתן, ולסעדם בכל צרכיהם, ואלו הן גמילות חסדים שבגופו שאין להם שיעור, אף על פי שכל מצות אלו מדבריהם הרי הן בכלל ואהבת לרעך כמוך, כל הדברים שאתה רוצה שיעשו אותם לך אחרים, עשה אתה אותן לאחיך בתורה ובמצות.</w:t>
      </w:r>
    </w:p>
    <w:p w:rsidR="00FB2FC7"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 xml:space="preserve">(8) </w:t>
      </w:r>
      <w:r w:rsidR="00FB2FC7" w:rsidRPr="00001284">
        <w:rPr>
          <w:rFonts w:ascii="David" w:hAnsi="David" w:cs="David"/>
          <w:b/>
          <w:bCs/>
          <w:sz w:val="28"/>
          <w:szCs w:val="28"/>
          <w:u w:val="single"/>
          <w:rtl/>
        </w:rPr>
        <w:t>רמב"ם הלכות סנהדרין פרק טו הלכה ח</w:t>
      </w:r>
      <w:r w:rsidR="00FB2FC7" w:rsidRPr="00001284">
        <w:rPr>
          <w:rFonts w:ascii="David" w:hAnsi="David" w:cs="David"/>
          <w:b/>
          <w:bCs/>
          <w:sz w:val="28"/>
          <w:szCs w:val="28"/>
          <w:u w:val="single"/>
        </w:rPr>
        <w:t xml:space="preserve"> </w:t>
      </w:r>
    </w:p>
    <w:p w:rsidR="00FB2FC7" w:rsidRDefault="00FB2FC7" w:rsidP="00960EC1">
      <w:pPr>
        <w:bidi/>
        <w:rPr>
          <w:rFonts w:ascii="David" w:hAnsi="David" w:cs="David"/>
          <w:sz w:val="28"/>
          <w:szCs w:val="28"/>
        </w:rPr>
      </w:pPr>
      <w:r w:rsidRPr="00FB2FC7">
        <w:rPr>
          <w:rFonts w:ascii="David" w:hAnsi="David" w:cs="David"/>
          <w:sz w:val="28"/>
          <w:szCs w:val="28"/>
          <w:rtl/>
        </w:rPr>
        <w:t xml:space="preserve">ומצות עשה לקבור את כל הרוגי בית דין ביום ההריגה שנאמר כי קבור תקברנו ביום ההוא, ולא הרוגי בית דין בלבד אלא כל המלין את </w:t>
      </w:r>
      <w:r w:rsidRPr="00FB2FC7">
        <w:rPr>
          <w:rFonts w:ascii="David" w:hAnsi="David" w:cs="David"/>
          <w:b/>
          <w:bCs/>
          <w:sz w:val="28"/>
          <w:szCs w:val="28"/>
          <w:rtl/>
        </w:rPr>
        <w:t>מתו</w:t>
      </w:r>
      <w:r w:rsidRPr="00FB2FC7">
        <w:rPr>
          <w:rFonts w:ascii="David" w:hAnsi="David" w:cs="David"/>
          <w:sz w:val="28"/>
          <w:szCs w:val="28"/>
          <w:rtl/>
        </w:rPr>
        <w:t xml:space="preserve"> עובר עליו בלא תעשה, הלינו לכבודו להביא לו ארון ותכריכין אינו עובר עליו.</w:t>
      </w:r>
    </w:p>
    <w:p w:rsidR="00260F7C"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 xml:space="preserve">(9) </w:t>
      </w:r>
      <w:r w:rsidR="00260F7C" w:rsidRPr="00001284">
        <w:rPr>
          <w:rFonts w:ascii="David" w:hAnsi="David" w:cs="David"/>
          <w:b/>
          <w:bCs/>
          <w:sz w:val="28"/>
          <w:szCs w:val="28"/>
          <w:u w:val="single"/>
          <w:rtl/>
        </w:rPr>
        <w:t>פסיקתא זוטרתא (לקח טוב) בראשית פרק כג</w:t>
      </w:r>
      <w:r w:rsidR="00260F7C" w:rsidRPr="00001284">
        <w:rPr>
          <w:rFonts w:ascii="David" w:hAnsi="David" w:cs="David"/>
          <w:b/>
          <w:bCs/>
          <w:sz w:val="28"/>
          <w:szCs w:val="28"/>
          <w:u w:val="single"/>
        </w:rPr>
        <w:t xml:space="preserve"> </w:t>
      </w:r>
    </w:p>
    <w:p w:rsidR="00260F7C" w:rsidRDefault="00260F7C" w:rsidP="00960EC1">
      <w:pPr>
        <w:bidi/>
        <w:rPr>
          <w:rFonts w:ascii="David" w:hAnsi="David" w:cs="David"/>
          <w:sz w:val="28"/>
          <w:szCs w:val="28"/>
        </w:rPr>
      </w:pPr>
      <w:r w:rsidRPr="00260F7C">
        <w:rPr>
          <w:rFonts w:ascii="David" w:hAnsi="David" w:cs="David"/>
          <w:sz w:val="28"/>
          <w:szCs w:val="28"/>
          <w:rtl/>
        </w:rPr>
        <w:t>וקבורא דנהוג עלמא ודאי דאורייתא הוא, ואף על גב דאסמוכוהו רבנן מכי קבור תקברנו (דברים כא כג), מדכתיב כי עפר אתה ואל עפר תשוב (בראשית ג יט), ואומר וישוב העפר אל הארץ כשהיה (קהלת יב ז), מכלל דצריך קבורה משום בזיוני דאינשי:</w:t>
      </w:r>
    </w:p>
    <w:p w:rsidR="00025E8A"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 xml:space="preserve">(10) </w:t>
      </w:r>
      <w:r w:rsidR="00025E8A" w:rsidRPr="00001284">
        <w:rPr>
          <w:rFonts w:ascii="David" w:hAnsi="David" w:cs="David"/>
          <w:b/>
          <w:bCs/>
          <w:sz w:val="28"/>
          <w:szCs w:val="28"/>
          <w:u w:val="single"/>
          <w:rtl/>
        </w:rPr>
        <w:t>תורת האדם שער הסוף - ענין הקבורה</w:t>
      </w:r>
      <w:r w:rsidR="00025E8A" w:rsidRPr="00001284">
        <w:rPr>
          <w:rFonts w:ascii="David" w:hAnsi="David" w:cs="David"/>
          <w:b/>
          <w:bCs/>
          <w:sz w:val="28"/>
          <w:szCs w:val="28"/>
          <w:u w:val="single"/>
        </w:rPr>
        <w:t xml:space="preserve"> </w:t>
      </w:r>
    </w:p>
    <w:p w:rsidR="00FB2FC7" w:rsidRDefault="00025E8A" w:rsidP="00960EC1">
      <w:pPr>
        <w:bidi/>
        <w:rPr>
          <w:rFonts w:ascii="David" w:hAnsi="David" w:cs="David"/>
          <w:sz w:val="28"/>
          <w:szCs w:val="28"/>
          <w:rtl/>
        </w:rPr>
      </w:pPr>
      <w:r w:rsidRPr="00025E8A">
        <w:rPr>
          <w:rFonts w:ascii="David" w:hAnsi="David" w:cs="David"/>
          <w:sz w:val="28"/>
          <w:szCs w:val="28"/>
          <w:rtl/>
        </w:rPr>
        <w:t>נמצינו למדין שהעושה ארון למת ומניחו בבית הקברות אינה קבורה, ובכלל מלין את מתו הוא ועובר עליו, ואם עשה ארון וקברו בקרקע אינו עובר עליו, ואף על פי כן יפה הוא לקברו בארץ, דקבורת ארץ ממש מצוה כצוואתו דרבי ואפי' בח"ל. ומה שנהגו חכמי ישראל בתלמוד בארונות לאחר עיכול הבשר הוא כדאמרינן בירושלמי</w:t>
      </w:r>
    </w:p>
    <w:p w:rsidR="00960EC1"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 xml:space="preserve">(11) </w:t>
      </w:r>
      <w:r w:rsidR="00960EC1" w:rsidRPr="00001284">
        <w:rPr>
          <w:rFonts w:ascii="David" w:hAnsi="David" w:cs="David"/>
          <w:b/>
          <w:bCs/>
          <w:sz w:val="28"/>
          <w:szCs w:val="28"/>
          <w:u w:val="single"/>
          <w:rtl/>
        </w:rPr>
        <w:t>שולחן ערוך יורה דעה הלכות אבילות סימן שסב סעיף א</w:t>
      </w:r>
      <w:r w:rsidR="00960EC1" w:rsidRPr="00001284">
        <w:rPr>
          <w:rFonts w:ascii="David" w:hAnsi="David" w:cs="David"/>
          <w:b/>
          <w:bCs/>
          <w:sz w:val="28"/>
          <w:szCs w:val="28"/>
          <w:u w:val="single"/>
        </w:rPr>
        <w:t xml:space="preserve"> </w:t>
      </w:r>
    </w:p>
    <w:p w:rsidR="002D78FD" w:rsidRDefault="00960EC1" w:rsidP="00960EC1">
      <w:pPr>
        <w:bidi/>
        <w:rPr>
          <w:rFonts w:ascii="David" w:hAnsi="David" w:cs="David"/>
          <w:sz w:val="28"/>
          <w:szCs w:val="28"/>
          <w:rtl/>
        </w:rPr>
      </w:pPr>
      <w:r w:rsidRPr="00960EC1">
        <w:rPr>
          <w:rFonts w:ascii="David" w:hAnsi="David" w:cs="David"/>
          <w:sz w:val="28"/>
          <w:szCs w:val="28"/>
          <w:rtl/>
        </w:rPr>
        <w:t>הנותן מתו א] בארון (א) ולא קברו בקרקע, עובר משום מלין את המת. ב] ואם נתנו בארון וקברו בקרקע, אינו עובר עליו, ג] א ומכל מקום יפה (ב) לקברו בקרקע ממש, אפילו בח"ל.</w:t>
      </w:r>
    </w:p>
    <w:p w:rsidR="00960EC1" w:rsidRPr="00001284" w:rsidRDefault="00001284" w:rsidP="00960EC1">
      <w:pPr>
        <w:bidi/>
        <w:rPr>
          <w:rFonts w:ascii="David" w:hAnsi="David" w:cs="David"/>
          <w:b/>
          <w:bCs/>
          <w:sz w:val="28"/>
          <w:szCs w:val="28"/>
          <w:u w:val="single"/>
          <w:rtl/>
        </w:rPr>
      </w:pPr>
      <w:r w:rsidRPr="00001284">
        <w:rPr>
          <w:rFonts w:ascii="David" w:hAnsi="David" w:cs="David" w:hint="cs"/>
          <w:b/>
          <w:bCs/>
          <w:sz w:val="28"/>
          <w:szCs w:val="28"/>
          <w:u w:val="single"/>
          <w:rtl/>
        </w:rPr>
        <w:t xml:space="preserve">(12) </w:t>
      </w:r>
      <w:r w:rsidR="00960EC1" w:rsidRPr="00001284">
        <w:rPr>
          <w:rFonts w:ascii="David" w:hAnsi="David" w:cs="David"/>
          <w:b/>
          <w:bCs/>
          <w:sz w:val="28"/>
          <w:szCs w:val="28"/>
          <w:u w:val="single"/>
          <w:rtl/>
        </w:rPr>
        <w:t>שו"ת הר צבי יורה דעה סימן רסט</w:t>
      </w:r>
      <w:r w:rsidR="00960EC1" w:rsidRPr="00001284">
        <w:rPr>
          <w:rFonts w:ascii="David" w:hAnsi="David" w:cs="David"/>
          <w:b/>
          <w:bCs/>
          <w:sz w:val="28"/>
          <w:szCs w:val="28"/>
          <w:u w:val="single"/>
        </w:rPr>
        <w:t xml:space="preserve"> </w:t>
      </w:r>
    </w:p>
    <w:p w:rsidR="00960EC1" w:rsidRDefault="00960EC1" w:rsidP="00960EC1">
      <w:pPr>
        <w:tabs>
          <w:tab w:val="left" w:pos="2030"/>
        </w:tabs>
        <w:bidi/>
        <w:rPr>
          <w:rFonts w:ascii="David" w:hAnsi="David" w:cs="David"/>
          <w:sz w:val="28"/>
          <w:szCs w:val="28"/>
          <w:rtl/>
        </w:rPr>
      </w:pPr>
      <w:r>
        <w:rPr>
          <w:rFonts w:ascii="David" w:hAnsi="David" w:cs="David"/>
          <w:sz w:val="28"/>
          <w:szCs w:val="28"/>
        </w:rPr>
        <w:tab/>
      </w:r>
      <w:r w:rsidRPr="00960EC1">
        <w:rPr>
          <w:rFonts w:ascii="David" w:hAnsi="David" w:cs="David"/>
          <w:sz w:val="28"/>
          <w:szCs w:val="28"/>
          <w:rtl/>
        </w:rPr>
        <w:t>הנה דבר זה של העברת מתים מחו"ל היה נהוג מעולם, ותמיד היו זהירים להוציא את המת מהארגז ולהניח בקרקע הגוף לבד בלי ארגז מפני שכן הוא נוח להמת שיהיה טמון בקרקע ולא בארגז. וכן היו זהירים במנהג זה שמצד הדין ראוי לעשות כן. ומעולם לא נשמע שיהיה ח"ו חשש סכנה בדבר. וע"פ רוב אין ריח רע. וליתר זהירות מכינים המתעסקים חומר חיטוי (ליזול) ואין שום חשש. ואין זה נכון לפגוע בכבוד המתים שרצונם להיות טמון באדמת /ארץ/ ישראל בלי ארגז, וגם שהוא נגד המקובל בתורת ישראל. ולכן כדאי שמע"כ יעמוד על המשמר שלא ישונה דבר מהמנהג הקודם ולא להרבות פרצות במנהגי ישראל הקדמונים.</w:t>
      </w:r>
    </w:p>
    <w:sectPr w:rsidR="0096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74D8"/>
    <w:multiLevelType w:val="hybridMultilevel"/>
    <w:tmpl w:val="3BFC9B4A"/>
    <w:lvl w:ilvl="0" w:tplc="96084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60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3D"/>
    <w:rsid w:val="00001284"/>
    <w:rsid w:val="00025E8A"/>
    <w:rsid w:val="00260F7C"/>
    <w:rsid w:val="002D78FD"/>
    <w:rsid w:val="008E50A7"/>
    <w:rsid w:val="00960EC1"/>
    <w:rsid w:val="00F11C3D"/>
    <w:rsid w:val="00FB2FC7"/>
    <w:rsid w:val="00FE7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443F"/>
  <w15:chartTrackingRefBased/>
  <w15:docId w15:val="{2CAE7B4F-3BD0-4BBF-9DA1-D0B24074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Weber</dc:creator>
  <cp:keywords/>
  <dc:description/>
  <cp:lastModifiedBy>Eli Weber</cp:lastModifiedBy>
  <cp:revision>1</cp:revision>
  <dcterms:created xsi:type="dcterms:W3CDTF">2022-11-24T10:31:00Z</dcterms:created>
  <dcterms:modified xsi:type="dcterms:W3CDTF">2022-11-25T12:35:00Z</dcterms:modified>
</cp:coreProperties>
</file>