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93D0" w14:textId="6B8E40AE" w:rsidR="00EE33B2" w:rsidRDefault="00711942">
      <w:pPr>
        <w:rPr>
          <w:rFonts w:asciiTheme="majorBidi" w:hAnsiTheme="majorBidi" w:cstheme="majorBidi"/>
          <w:sz w:val="24"/>
          <w:szCs w:val="24"/>
        </w:rPr>
      </w:pPr>
      <w:r>
        <w:rPr>
          <w:rFonts w:asciiTheme="majorBidi" w:hAnsiTheme="majorBidi" w:cstheme="majorBidi" w:hint="cs"/>
          <w:sz w:val="24"/>
          <w:szCs w:val="24"/>
        </w:rPr>
        <w:t>Y</w:t>
      </w:r>
      <w:r>
        <w:rPr>
          <w:rFonts w:asciiTheme="majorBidi" w:hAnsiTheme="majorBidi" w:cstheme="majorBidi"/>
          <w:sz w:val="24"/>
          <w:szCs w:val="24"/>
        </w:rPr>
        <w:t>oni Pere</w:t>
      </w:r>
    </w:p>
    <w:p w14:paraId="4B544B2C" w14:textId="2A152B53" w:rsidR="00711942" w:rsidRDefault="00711942">
      <w:pPr>
        <w:rPr>
          <w:rFonts w:asciiTheme="majorBidi" w:hAnsiTheme="majorBidi" w:cstheme="majorBidi"/>
          <w:sz w:val="24"/>
          <w:szCs w:val="24"/>
        </w:rPr>
      </w:pPr>
      <w:r>
        <w:rPr>
          <w:rFonts w:asciiTheme="majorBidi" w:hAnsiTheme="majorBidi" w:cstheme="majorBidi"/>
          <w:sz w:val="24"/>
          <w:szCs w:val="24"/>
        </w:rPr>
        <w:t>Parsha Chaburah – Parshas Chayei Sarah</w:t>
      </w:r>
    </w:p>
    <w:p w14:paraId="092BE732" w14:textId="76EC9BD9" w:rsidR="00711942" w:rsidRDefault="00711942" w:rsidP="00711942">
      <w:pPr>
        <w:jc w:val="center"/>
        <w:rPr>
          <w:rFonts w:asciiTheme="majorBidi" w:hAnsiTheme="majorBidi" w:cstheme="majorBidi"/>
          <w:sz w:val="32"/>
          <w:szCs w:val="32"/>
          <w:rtl/>
        </w:rPr>
      </w:pPr>
      <w:r>
        <w:rPr>
          <w:rFonts w:asciiTheme="majorBidi" w:hAnsiTheme="majorBidi" w:cstheme="majorBidi" w:hint="cs"/>
          <w:sz w:val="32"/>
          <w:szCs w:val="32"/>
          <w:rtl/>
        </w:rPr>
        <w:t>בענין ניחוש דאליעזר עבד אברהם</w:t>
      </w:r>
    </w:p>
    <w:p w14:paraId="15537E32" w14:textId="5034240D" w:rsidR="00711942" w:rsidRPr="00F60B5A" w:rsidRDefault="00711942" w:rsidP="00711942">
      <w:pPr>
        <w:jc w:val="right"/>
        <w:rPr>
          <w:rFonts w:asciiTheme="majorBidi" w:hAnsiTheme="majorBidi" w:cstheme="majorBidi"/>
          <w:b/>
          <w:bCs/>
          <w:sz w:val="24"/>
          <w:szCs w:val="24"/>
        </w:rPr>
      </w:pPr>
      <w:r w:rsidRPr="00F60B5A">
        <w:rPr>
          <w:rFonts w:asciiTheme="majorBidi" w:hAnsiTheme="majorBidi" w:cs="Times New Roman"/>
          <w:b/>
          <w:bCs/>
          <w:sz w:val="24"/>
          <w:szCs w:val="24"/>
          <w:rtl/>
        </w:rPr>
        <w:t>בראשית פרשת חיי שרה פרק כד</w:t>
      </w:r>
      <w:r w:rsidR="00357D5C">
        <w:rPr>
          <w:rFonts w:asciiTheme="majorBidi" w:hAnsiTheme="majorBidi" w:cs="Times New Roman" w:hint="cs"/>
          <w:b/>
          <w:bCs/>
          <w:sz w:val="24"/>
          <w:szCs w:val="24"/>
          <w:rtl/>
        </w:rPr>
        <w:t xml:space="preserve"> </w:t>
      </w:r>
      <w:r w:rsidR="00357D5C">
        <w:rPr>
          <w:rFonts w:asciiTheme="majorBidi" w:hAnsiTheme="majorBidi" w:cs="Times New Roman"/>
          <w:b/>
          <w:bCs/>
          <w:sz w:val="24"/>
          <w:szCs w:val="24"/>
        </w:rPr>
        <w:t xml:space="preserve"> .1</w:t>
      </w:r>
    </w:p>
    <w:p w14:paraId="6E23BAEE" w14:textId="39290F09" w:rsidR="00711942" w:rsidRDefault="00711942" w:rsidP="00711942">
      <w:pPr>
        <w:jc w:val="right"/>
        <w:rPr>
          <w:rFonts w:asciiTheme="majorBidi" w:hAnsiTheme="majorBidi" w:cs="Times New Roman"/>
          <w:sz w:val="24"/>
          <w:szCs w:val="24"/>
          <w:rtl/>
        </w:rPr>
      </w:pPr>
      <w:r w:rsidRPr="004973E0">
        <w:rPr>
          <w:rFonts w:asciiTheme="majorBidi" w:hAnsiTheme="majorBidi" w:cs="Times New Roman"/>
          <w:sz w:val="24"/>
          <w:szCs w:val="24"/>
          <w:rtl/>
        </w:rPr>
        <w:t>(יד) וְהָיָה הַנַּעֲרָ אֲשֶׁר אֹמַר אֵלֶיהָ הַטִּי נָא כַדֵּךְ וְאֶשְׁתֶּה וְאָמְרָה שְׁתֵה וְגַם גְּמַלֶּיךָ אַשְׁקֶה אֹתָהּ הֹכַחְתָּ לְעַבְדְּךָ לְיִצְחָק וּבָהּ אֵדַע כִּי עָשִׂיתָ חֶסֶד עִם אֲדֹנִי</w:t>
      </w:r>
    </w:p>
    <w:p w14:paraId="6D3AF06B" w14:textId="3EE0546E" w:rsidR="00711942" w:rsidRPr="00F60B5A" w:rsidRDefault="00711942" w:rsidP="00711942">
      <w:pPr>
        <w:jc w:val="right"/>
        <w:rPr>
          <w:rFonts w:asciiTheme="majorBidi" w:hAnsiTheme="majorBidi" w:cstheme="majorBidi"/>
          <w:b/>
          <w:bCs/>
          <w:sz w:val="24"/>
          <w:szCs w:val="24"/>
        </w:rPr>
      </w:pPr>
      <w:r w:rsidRPr="00F60B5A">
        <w:rPr>
          <w:rFonts w:asciiTheme="majorBidi" w:hAnsiTheme="majorBidi" w:cs="Times New Roman"/>
          <w:b/>
          <w:bCs/>
          <w:sz w:val="24"/>
          <w:szCs w:val="24"/>
          <w:rtl/>
        </w:rPr>
        <w:t>תלמוד בבלי מסכת סנהדרין דף סה עמוד ב</w:t>
      </w:r>
      <w:r w:rsidR="00357D5C">
        <w:rPr>
          <w:rFonts w:asciiTheme="majorBidi" w:hAnsiTheme="majorBidi" w:cs="Times New Roman"/>
          <w:b/>
          <w:bCs/>
          <w:sz w:val="24"/>
          <w:szCs w:val="24"/>
        </w:rPr>
        <w:t xml:space="preserve"> .2</w:t>
      </w:r>
    </w:p>
    <w:p w14:paraId="092631BC" w14:textId="5510DA14" w:rsidR="00711942" w:rsidRDefault="00711942" w:rsidP="00711942">
      <w:pPr>
        <w:jc w:val="right"/>
        <w:rPr>
          <w:rFonts w:asciiTheme="majorBidi" w:hAnsiTheme="majorBidi" w:cs="Times New Roman"/>
          <w:sz w:val="24"/>
          <w:szCs w:val="24"/>
          <w:rtl/>
        </w:rPr>
      </w:pPr>
      <w:r>
        <w:rPr>
          <w:rFonts w:asciiTheme="majorBidi" w:hAnsiTheme="majorBidi" w:cs="Times New Roman" w:hint="cs"/>
          <w:sz w:val="24"/>
          <w:szCs w:val="24"/>
          <w:rtl/>
        </w:rPr>
        <w:t xml:space="preserve">תנו </w:t>
      </w:r>
      <w:r w:rsidRPr="004973E0">
        <w:rPr>
          <w:rFonts w:asciiTheme="majorBidi" w:hAnsiTheme="majorBidi" w:cs="Times New Roman"/>
          <w:sz w:val="24"/>
          <w:szCs w:val="24"/>
          <w:rtl/>
        </w:rPr>
        <w:t>רבנן: מנחש - זה האומר פתו נפלה מפיו מקלו נפלה מידו. בנו קורא לו מאחריו. עורב קורא לו, צבי הפסיקו בדרך, נחש מימינו ושועל משמאלו</w:t>
      </w:r>
      <w:r>
        <w:rPr>
          <w:rFonts w:asciiTheme="majorBidi" w:hAnsiTheme="majorBidi" w:cs="Times New Roman" w:hint="cs"/>
          <w:sz w:val="24"/>
          <w:szCs w:val="24"/>
          <w:rtl/>
        </w:rPr>
        <w:t xml:space="preserve"> </w:t>
      </w:r>
      <w:r w:rsidRPr="004973E0">
        <w:rPr>
          <w:rFonts w:asciiTheme="majorBidi" w:hAnsiTheme="majorBidi" w:cs="Times New Roman"/>
          <w:sz w:val="24"/>
          <w:szCs w:val="24"/>
          <w:rtl/>
        </w:rPr>
        <w:t>אל תתחיל בי, שחרית הוא, ראש חודש הוא מוצאי שבת הוא</w:t>
      </w:r>
    </w:p>
    <w:p w14:paraId="01FC4B71" w14:textId="7351349D" w:rsidR="00711942" w:rsidRPr="00F60B5A" w:rsidRDefault="00711942" w:rsidP="00711942">
      <w:pPr>
        <w:jc w:val="right"/>
        <w:rPr>
          <w:rFonts w:asciiTheme="majorBidi" w:hAnsiTheme="majorBidi" w:cs="Times New Roman"/>
          <w:b/>
          <w:bCs/>
          <w:sz w:val="24"/>
          <w:szCs w:val="24"/>
        </w:rPr>
      </w:pPr>
      <w:r w:rsidRPr="00F60B5A">
        <w:rPr>
          <w:rFonts w:asciiTheme="majorBidi" w:hAnsiTheme="majorBidi" w:cs="Times New Roman"/>
          <w:b/>
          <w:bCs/>
          <w:sz w:val="24"/>
          <w:szCs w:val="24"/>
          <w:rtl/>
        </w:rPr>
        <w:t>תלמוד בבלי מסכת סנהדרין דף נו עמוד ב</w:t>
      </w:r>
      <w:r w:rsidR="00357D5C">
        <w:rPr>
          <w:rFonts w:asciiTheme="majorBidi" w:hAnsiTheme="majorBidi" w:cs="Times New Roman"/>
          <w:b/>
          <w:bCs/>
          <w:sz w:val="24"/>
          <w:szCs w:val="24"/>
        </w:rPr>
        <w:t xml:space="preserve"> .3</w:t>
      </w:r>
    </w:p>
    <w:p w14:paraId="46E6F1DC" w14:textId="77777777" w:rsidR="00711942" w:rsidRDefault="00711942" w:rsidP="00711942">
      <w:pPr>
        <w:jc w:val="right"/>
        <w:rPr>
          <w:rFonts w:asciiTheme="majorBidi" w:hAnsiTheme="majorBidi" w:cs="Times New Roman"/>
          <w:sz w:val="24"/>
          <w:szCs w:val="24"/>
          <w:rtl/>
        </w:rPr>
      </w:pPr>
      <w:r w:rsidRPr="004973E0">
        <w:rPr>
          <w:rFonts w:asciiTheme="majorBidi" w:hAnsiTheme="majorBidi" w:cs="Times New Roman"/>
          <w:sz w:val="24"/>
          <w:szCs w:val="24"/>
          <w:rtl/>
        </w:rPr>
        <w:t>רבי יוסי אומר: כל האמור בפרשת כישוף - בן נח מוזהר עליו</w:t>
      </w:r>
    </w:p>
    <w:p w14:paraId="2194DFBD" w14:textId="463F0AB8" w:rsidR="00711942" w:rsidRPr="00F60B5A" w:rsidRDefault="00711942" w:rsidP="00711942">
      <w:pPr>
        <w:jc w:val="right"/>
        <w:rPr>
          <w:rFonts w:asciiTheme="majorBidi" w:hAnsiTheme="majorBidi" w:cs="Times New Roman"/>
          <w:b/>
          <w:bCs/>
          <w:sz w:val="24"/>
          <w:szCs w:val="24"/>
        </w:rPr>
      </w:pPr>
      <w:r w:rsidRPr="00F60B5A">
        <w:rPr>
          <w:rFonts w:asciiTheme="majorBidi" w:hAnsiTheme="majorBidi" w:cs="Times New Roman"/>
          <w:b/>
          <w:bCs/>
          <w:sz w:val="24"/>
          <w:szCs w:val="24"/>
          <w:rtl/>
        </w:rPr>
        <w:t>תלמוד בבלי מסכת חולין דף צה עמוד ב</w:t>
      </w:r>
      <w:r w:rsidR="00357D5C">
        <w:rPr>
          <w:rFonts w:asciiTheme="majorBidi" w:hAnsiTheme="majorBidi" w:cs="Times New Roman"/>
          <w:b/>
          <w:bCs/>
          <w:sz w:val="24"/>
          <w:szCs w:val="24"/>
        </w:rPr>
        <w:t xml:space="preserve"> .4</w:t>
      </w:r>
    </w:p>
    <w:p w14:paraId="028B08A3" w14:textId="6D75A1AB" w:rsidR="00711942" w:rsidRDefault="00711942" w:rsidP="00711942">
      <w:pPr>
        <w:jc w:val="right"/>
        <w:rPr>
          <w:rFonts w:asciiTheme="majorBidi" w:hAnsiTheme="majorBidi" w:cs="Times New Roman"/>
          <w:sz w:val="24"/>
          <w:szCs w:val="24"/>
          <w:rtl/>
        </w:rPr>
      </w:pPr>
      <w:r w:rsidRPr="004973E0">
        <w:rPr>
          <w:rFonts w:asciiTheme="majorBidi" w:hAnsiTheme="majorBidi" w:cs="Times New Roman"/>
          <w:sz w:val="24"/>
          <w:szCs w:val="24"/>
          <w:rtl/>
        </w:rPr>
        <w:t xml:space="preserve">רב הוה קאזיל לבי רב חנן חתניה, חזי מברא דקאתי לאפיה, אמר: מברא קאתי לאפי, יומא טבא לגו; אזל קם אבבא, אודיק בבזעא דדשא חזי חיותא דתליא, טרף אבבא, נפוק אתו כולי עלמא לאפיה, אתא טבחי נמי, לא עלים רב עיניה מיניה, אמר להו: איכו השתא, ספיתו להו איסורא לבני ברת! לא אכל רב מההוא בישרא; מ"ט? אי משום איעלומי - הא לא איעלים, </w:t>
      </w:r>
      <w:r w:rsidRPr="00711942">
        <w:rPr>
          <w:rFonts w:asciiTheme="majorBidi" w:hAnsiTheme="majorBidi" w:cs="Times New Roman"/>
          <w:b/>
          <w:bCs/>
          <w:sz w:val="24"/>
          <w:szCs w:val="24"/>
          <w:rtl/>
        </w:rPr>
        <w:t>אלא דנחיש - והאמר רב: כל נחש שאינו כאליעזר עבד אברהם וכיונתן בן שאול אינו נחש</w:t>
      </w:r>
      <w:r w:rsidRPr="004973E0">
        <w:rPr>
          <w:rFonts w:asciiTheme="majorBidi" w:hAnsiTheme="majorBidi" w:cs="Times New Roman"/>
          <w:sz w:val="24"/>
          <w:szCs w:val="24"/>
          <w:rtl/>
        </w:rPr>
        <w:t>! אלא: סעודת הרשות הואי, ורב לא מתהני מסעודת הרשות.</w:t>
      </w:r>
    </w:p>
    <w:p w14:paraId="1BB24F8F" w14:textId="519E968D" w:rsidR="00711942" w:rsidRPr="00F60B5A" w:rsidRDefault="00711942" w:rsidP="00711942">
      <w:pPr>
        <w:jc w:val="right"/>
        <w:rPr>
          <w:rFonts w:asciiTheme="majorBidi" w:hAnsiTheme="majorBidi" w:cs="Times New Roman"/>
          <w:b/>
          <w:bCs/>
          <w:sz w:val="24"/>
          <w:szCs w:val="24"/>
        </w:rPr>
      </w:pPr>
      <w:r w:rsidRPr="00F60B5A">
        <w:rPr>
          <w:rFonts w:asciiTheme="majorBidi" w:hAnsiTheme="majorBidi" w:cs="Times New Roman"/>
          <w:b/>
          <w:bCs/>
          <w:sz w:val="24"/>
          <w:szCs w:val="24"/>
          <w:rtl/>
        </w:rPr>
        <w:t>תוספות מסכת חולין דף צה עמוד ב</w:t>
      </w:r>
      <w:r w:rsidR="00357D5C">
        <w:rPr>
          <w:rFonts w:asciiTheme="majorBidi" w:hAnsiTheme="majorBidi" w:cs="Times New Roman"/>
          <w:b/>
          <w:bCs/>
          <w:sz w:val="24"/>
          <w:szCs w:val="24"/>
        </w:rPr>
        <w:t xml:space="preserve"> .5</w:t>
      </w:r>
    </w:p>
    <w:p w14:paraId="4323FA40" w14:textId="3A47E730" w:rsidR="00711942" w:rsidRDefault="00711942" w:rsidP="00F50101">
      <w:pPr>
        <w:jc w:val="right"/>
        <w:rPr>
          <w:rFonts w:asciiTheme="majorBidi" w:hAnsiTheme="majorBidi" w:cs="Times New Roman"/>
          <w:sz w:val="24"/>
          <w:szCs w:val="24"/>
          <w:rtl/>
        </w:rPr>
      </w:pPr>
      <w:r w:rsidRPr="0018118C">
        <w:rPr>
          <w:rFonts w:asciiTheme="majorBidi" w:hAnsiTheme="majorBidi" w:cs="Times New Roman"/>
          <w:sz w:val="24"/>
          <w:szCs w:val="24"/>
          <w:rtl/>
        </w:rPr>
        <w:t>כאליעזר עבד אברהם - ואם תאמר אליעזר היאך ניחש למ"ד בפ' ארבעה מיתות (סנהדרין דף נו:) כל האמור בפרשת מכשף בן נח מוזהר עליו וי"ל דההוא תנא סבר שלא נתן לה הצמידים עד שהגידה לו בת מי היא ואע"ג דכתיב (בראשית כד) ויקח האיש נזם זהב וגו' והדר כתיב ויאמר בת מי את אין מוקדם ומאוחר בתורה וכן מוכח כשספר דכתיב ואשאל אותה ואומר בת מי את</w:t>
      </w:r>
    </w:p>
    <w:p w14:paraId="148F325E" w14:textId="79CA572C" w:rsidR="00711942" w:rsidRPr="00711942" w:rsidRDefault="00711942" w:rsidP="00711942">
      <w:pPr>
        <w:jc w:val="right"/>
        <w:rPr>
          <w:rFonts w:asciiTheme="majorBidi" w:hAnsiTheme="majorBidi" w:cs="Times New Roman"/>
          <w:b/>
          <w:bCs/>
          <w:sz w:val="24"/>
          <w:szCs w:val="24"/>
          <w:rtl/>
        </w:rPr>
      </w:pPr>
      <w:r w:rsidRPr="00F60B5A">
        <w:rPr>
          <w:rFonts w:asciiTheme="majorBidi" w:hAnsiTheme="majorBidi" w:cs="Times New Roman"/>
          <w:b/>
          <w:bCs/>
          <w:sz w:val="24"/>
          <w:szCs w:val="24"/>
          <w:rtl/>
        </w:rPr>
        <w:t>חידושי הר"ן מסכת חולין דף צה עמוד ב</w:t>
      </w:r>
      <w:r w:rsidR="00357D5C">
        <w:rPr>
          <w:rFonts w:asciiTheme="majorBidi" w:hAnsiTheme="majorBidi" w:cs="Times New Roman"/>
          <w:b/>
          <w:bCs/>
          <w:sz w:val="24"/>
          <w:szCs w:val="24"/>
        </w:rPr>
        <w:t xml:space="preserve"> .7</w:t>
      </w:r>
    </w:p>
    <w:p w14:paraId="2BE68472" w14:textId="0351A67A" w:rsidR="00711942" w:rsidRDefault="00711942" w:rsidP="00711942">
      <w:pPr>
        <w:jc w:val="right"/>
        <w:rPr>
          <w:rFonts w:asciiTheme="majorBidi" w:hAnsiTheme="majorBidi" w:cs="Times New Roman"/>
          <w:sz w:val="24"/>
          <w:szCs w:val="24"/>
        </w:rPr>
      </w:pPr>
      <w:r w:rsidRPr="0018118C">
        <w:rPr>
          <w:rFonts w:asciiTheme="majorBidi" w:hAnsiTheme="majorBidi" w:cs="Times New Roman"/>
          <w:sz w:val="24"/>
          <w:szCs w:val="24"/>
          <w:rtl/>
        </w:rPr>
        <w:t>נראה לי בתירוצן של דברים שהנחש שאסרה תורה הוא התולה את דבריו בסימן שאין הסברא נותנת שיהא בהם גורם תועל' לדבר או נזק כגון פתו נפל מידו וצבי הפסיק לו בדרך כדאיתא בפ' ד' מיתות שאלו וכיוצא בהם הם מדרכי האמורי אבל הלוקח סימנין בדבר שהסברא נודעת שהן מורין תועלת הדבר או נזקו אין זה נחש שכל עסקי העולם כך הם שהרי האומר שאם ירדו גשמים לא אצא לדרך ואם לאו אצא לדרך אין זה נחש אלא מנהגו של עולם ואליעזר עבד אברהם ויונתן בן שאול וכיוצא מזה תלו מעשיהם שאליעזר יודע היה שלא היו מזווגין אשה ליצחק אבינו אלא הוגנת לו ולפיכך לקח סימן לעצמו שאם תהא כל כך נאה במעשי' ושלמה במדותיה עד שכשיאמר לה הגמיאני מעט מים תשיבנו ברוח נדיב' שתה וגם גמליך אשקה אותה היא שהזמינו מן השמי' ליצחק. וכן יונתן בן שאול שבקש להכות במחנה פלשתים הוא ונושא כליו בלבד לקח זה סימן לעצמו שאם יאמרו עלו אלינו יהא נראה שהם יראים ממארב ובכיוצא בזה בטח יונתן בגבורתו שהוא ונושא כליו יפגעו בהם שכן מנהגו של עולם ששנים או שלשה אבירי לב יניסו הרבה מן המפחדים ואם יאמרו דומו עד הגענו אליכם יראה מדבריהם שאינם מתפחדים ובכיוצ' בזה לא היה ראוי ליונתן בן שאול שימסור עצמו לסכנה וכל כיוצא בזה מנהגו של עולם הוא. וכי מייתינן לה בגמר' לענין איסור הכי קאמרינן שכל נחש שהוא מן הדברי' שאסרה תורה שאין הסברא מכרעת בהן כל שאינו סומך על מעשיו ממש כמו שעשו אלו השנים בדבר מותר אינו נחש ואינו אסור אע"פ שהוא מדרכי הנחשים האסורים ורב לא תלה מעשיו במברא שהרי לא אמר אי מברא אתי לאפאי איזיל ואי לא לא איזיל אלא דכי חזא מברא דאתי לאפיה אמר יומא טבא לגאו וכיון שכן אמאי לא אכיל מההוא.</w:t>
      </w:r>
    </w:p>
    <w:p w14:paraId="6E6C4EBD" w14:textId="4C15A03F" w:rsidR="00F50101" w:rsidRDefault="00F50101" w:rsidP="00711942">
      <w:pPr>
        <w:jc w:val="right"/>
        <w:rPr>
          <w:rFonts w:asciiTheme="majorBidi" w:hAnsiTheme="majorBidi" w:cs="Times New Roman"/>
          <w:sz w:val="24"/>
          <w:szCs w:val="24"/>
        </w:rPr>
      </w:pPr>
    </w:p>
    <w:p w14:paraId="74B17DE8" w14:textId="58381222" w:rsidR="00F50101" w:rsidRDefault="00F50101" w:rsidP="00711942">
      <w:pPr>
        <w:jc w:val="right"/>
        <w:rPr>
          <w:rFonts w:asciiTheme="majorBidi" w:hAnsiTheme="majorBidi" w:cs="Times New Roman"/>
          <w:sz w:val="24"/>
          <w:szCs w:val="24"/>
        </w:rPr>
      </w:pPr>
    </w:p>
    <w:p w14:paraId="7A1C8F12" w14:textId="34A994E2" w:rsidR="00F50101" w:rsidRDefault="00F50101" w:rsidP="00711942">
      <w:pPr>
        <w:jc w:val="right"/>
        <w:rPr>
          <w:rFonts w:asciiTheme="majorBidi" w:hAnsiTheme="majorBidi" w:cs="Times New Roman"/>
          <w:sz w:val="24"/>
          <w:szCs w:val="24"/>
        </w:rPr>
      </w:pPr>
    </w:p>
    <w:p w14:paraId="68C178F1" w14:textId="77777777" w:rsidR="00F50101" w:rsidRDefault="00F50101" w:rsidP="00711942">
      <w:pPr>
        <w:jc w:val="right"/>
        <w:rPr>
          <w:rFonts w:asciiTheme="majorBidi" w:hAnsiTheme="majorBidi" w:cs="Times New Roman"/>
          <w:sz w:val="24"/>
          <w:szCs w:val="24"/>
        </w:rPr>
      </w:pPr>
    </w:p>
    <w:p w14:paraId="7A8C0F56" w14:textId="77777777" w:rsidR="00F50101" w:rsidRPr="00F60B5A" w:rsidRDefault="00F50101" w:rsidP="00F50101">
      <w:pPr>
        <w:jc w:val="right"/>
        <w:rPr>
          <w:rFonts w:asciiTheme="majorBidi" w:hAnsiTheme="majorBidi" w:cs="Times New Roman"/>
          <w:b/>
          <w:bCs/>
          <w:sz w:val="24"/>
          <w:szCs w:val="24"/>
        </w:rPr>
      </w:pPr>
      <w:r w:rsidRPr="00F60B5A">
        <w:rPr>
          <w:rFonts w:asciiTheme="majorBidi" w:hAnsiTheme="majorBidi" w:cs="Times New Roman"/>
          <w:b/>
          <w:bCs/>
          <w:sz w:val="24"/>
          <w:szCs w:val="24"/>
          <w:rtl/>
        </w:rPr>
        <w:lastRenderedPageBreak/>
        <w:t>רמב"ם הלכות עבודה זרה פרק יא</w:t>
      </w:r>
      <w:r>
        <w:rPr>
          <w:rFonts w:asciiTheme="majorBidi" w:hAnsiTheme="majorBidi" w:cs="Times New Roman"/>
          <w:b/>
          <w:bCs/>
          <w:sz w:val="24"/>
          <w:szCs w:val="24"/>
        </w:rPr>
        <w:t xml:space="preserve"> .6</w:t>
      </w:r>
    </w:p>
    <w:p w14:paraId="6A354462" w14:textId="77777777" w:rsidR="00F50101" w:rsidRPr="0018118C" w:rsidRDefault="00F50101" w:rsidP="00F50101">
      <w:pPr>
        <w:jc w:val="right"/>
        <w:rPr>
          <w:rFonts w:asciiTheme="majorBidi" w:hAnsiTheme="majorBidi" w:cs="Times New Roman"/>
          <w:sz w:val="24"/>
          <w:szCs w:val="24"/>
        </w:rPr>
      </w:pPr>
      <w:r w:rsidRPr="0018118C">
        <w:rPr>
          <w:rFonts w:asciiTheme="majorBidi" w:hAnsiTheme="majorBidi" w:cs="Times New Roman"/>
          <w:sz w:val="24"/>
          <w:szCs w:val="24"/>
          <w:rtl/>
        </w:rPr>
        <w:t>הלכה ד</w:t>
      </w:r>
    </w:p>
    <w:p w14:paraId="19CD7848" w14:textId="74C95A31" w:rsidR="00F50101" w:rsidRDefault="00F50101" w:rsidP="00545065">
      <w:pPr>
        <w:jc w:val="right"/>
        <w:rPr>
          <w:rFonts w:asciiTheme="majorBidi" w:hAnsiTheme="majorBidi" w:cs="Times New Roman"/>
          <w:sz w:val="24"/>
          <w:szCs w:val="24"/>
          <w:rtl/>
        </w:rPr>
      </w:pPr>
      <w:r w:rsidRPr="0018118C">
        <w:rPr>
          <w:rFonts w:asciiTheme="majorBidi" w:hAnsiTheme="majorBidi" w:cs="Times New Roman"/>
          <w:sz w:val="24"/>
          <w:szCs w:val="24"/>
          <w:rtl/>
        </w:rPr>
        <w:t xml:space="preserve">אין מנחשין כעכו"ם שנאמר לא תנחשו, כיצד הוא הנחש כגון אלו שאומרים הואיל ונפלה פתי מפי או נפל מקלי מידי איני הולך למקום פלוני היום שאם אלך אין חפציי נעשים, הואיל ועבר שועל מימיני איני יוצא מפתח ביתי היום שאם אצא יפגעני אדם רמאי, וכן אלו ששומעים צפצוף העוף ואומרים יהיה כך ולא יהיה כך, טוב לעשות דבר פלוני ורע לעשות דבר פלוני, וכן אלו שאומרים שחוט תרנגול זה שקרא ערבית, שחוט תרנגולת זו שקראה כמו תרנגול, </w:t>
      </w:r>
      <w:r w:rsidRPr="00711942">
        <w:rPr>
          <w:rFonts w:asciiTheme="majorBidi" w:hAnsiTheme="majorBidi" w:cs="Times New Roman"/>
          <w:b/>
          <w:bCs/>
          <w:sz w:val="24"/>
          <w:szCs w:val="24"/>
          <w:rtl/>
        </w:rPr>
        <w:t>וכן המשים סימנים לעצמו אם יארע לי כך וכך אעשה דבר פלוני ואם לא יארע לי לא אעשה, כאליעזר עבד אברהם</w:t>
      </w:r>
      <w:r w:rsidRPr="0018118C">
        <w:rPr>
          <w:rFonts w:asciiTheme="majorBidi" w:hAnsiTheme="majorBidi" w:cs="Times New Roman"/>
          <w:sz w:val="24"/>
          <w:szCs w:val="24"/>
          <w:rtl/>
        </w:rPr>
        <w:t>, וכן כל כיוצא בדברים האלו הכל אסור וכל העושה מעשה מפני דבר מדברים אלו לוקה. +/השגת הראב"ד/ וכן המשים לעצמו סימנים אם יארע לו כך וכך וכו'. א"א זה שבוש גדול שהרי דבר זה מותר ומותר הוא ואולי הטעהו הלשון שראה כל נחש שאינו כאליעזר ויונתן אינו נחש והוא סבר שלענין איסור נאמר ולא היא אלא ה"ק אינו ראוי לסמוך ואיך חשב על צדיקים כמותם עבירה זו ואי הוו אינהו הוו מפקי פולסי דנורא לאפיה</w:t>
      </w:r>
    </w:p>
    <w:p w14:paraId="65692322" w14:textId="1A122323" w:rsidR="00711942" w:rsidRPr="00711942" w:rsidRDefault="00711942" w:rsidP="00711942">
      <w:pPr>
        <w:jc w:val="right"/>
        <w:rPr>
          <w:rFonts w:asciiTheme="majorBidi" w:hAnsiTheme="majorBidi" w:cs="Times New Roman"/>
          <w:b/>
          <w:bCs/>
          <w:sz w:val="24"/>
          <w:szCs w:val="24"/>
        </w:rPr>
      </w:pPr>
      <w:r w:rsidRPr="00711942">
        <w:rPr>
          <w:rFonts w:asciiTheme="majorBidi" w:hAnsiTheme="majorBidi" w:cs="Times New Roman"/>
          <w:b/>
          <w:bCs/>
          <w:sz w:val="24"/>
          <w:szCs w:val="24"/>
          <w:rtl/>
        </w:rPr>
        <w:t>עבודת המלך הלכות עבודה זרה פרק יא</w:t>
      </w:r>
      <w:r w:rsidR="00357D5C">
        <w:rPr>
          <w:rFonts w:asciiTheme="majorBidi" w:hAnsiTheme="majorBidi" w:cs="Times New Roman"/>
          <w:b/>
          <w:bCs/>
          <w:sz w:val="24"/>
          <w:szCs w:val="24"/>
        </w:rPr>
        <w:t xml:space="preserve"> .8</w:t>
      </w:r>
    </w:p>
    <w:p w14:paraId="0D75BB2E" w14:textId="77777777" w:rsidR="00711942" w:rsidRPr="00810D7F" w:rsidRDefault="00711942" w:rsidP="00711942">
      <w:pPr>
        <w:jc w:val="right"/>
        <w:rPr>
          <w:rFonts w:asciiTheme="majorBidi" w:hAnsiTheme="majorBidi" w:cs="Times New Roman"/>
          <w:sz w:val="24"/>
          <w:szCs w:val="24"/>
        </w:rPr>
      </w:pPr>
      <w:r w:rsidRPr="00810D7F">
        <w:rPr>
          <w:rFonts w:asciiTheme="majorBidi" w:hAnsiTheme="majorBidi" w:cs="Times New Roman"/>
          <w:sz w:val="24"/>
          <w:szCs w:val="24"/>
          <w:rtl/>
        </w:rPr>
        <w:t>הלכה ד</w:t>
      </w:r>
    </w:p>
    <w:p w14:paraId="5DD80924" w14:textId="7F9F02EA" w:rsidR="00711942" w:rsidRDefault="00711942" w:rsidP="00711942">
      <w:pPr>
        <w:jc w:val="right"/>
        <w:rPr>
          <w:rFonts w:asciiTheme="majorBidi" w:hAnsiTheme="majorBidi" w:cs="Times New Roman"/>
          <w:sz w:val="24"/>
          <w:szCs w:val="24"/>
          <w:rtl/>
        </w:rPr>
      </w:pPr>
      <w:r w:rsidRPr="00810D7F">
        <w:rPr>
          <w:rFonts w:asciiTheme="majorBidi" w:hAnsiTheme="majorBidi" w:cs="Times New Roman"/>
          <w:sz w:val="24"/>
          <w:szCs w:val="24"/>
          <w:rtl/>
        </w:rPr>
        <w:t>[ד] אין מנחשין כעכו"ם שנא' לא תנחשו. הלשון כעכו"ם אינו מובן וכבר ראיתי שעמדו ע"ז אבל הנראה שרבנו דבר גדול השמיענו כאן</w:t>
      </w:r>
      <w:r w:rsidRPr="00711942">
        <w:rPr>
          <w:rFonts w:asciiTheme="majorBidi" w:hAnsiTheme="majorBidi" w:cs="Times New Roman"/>
          <w:b/>
          <w:bCs/>
          <w:sz w:val="24"/>
          <w:szCs w:val="24"/>
          <w:rtl/>
        </w:rPr>
        <w:t>, דדוקא אם מנחש כעכו"ם וכאותם שמנה לקמן שסובר, שהנחש יש לו ערך וענין בפני עצמו,</w:t>
      </w:r>
      <w:r w:rsidRPr="00810D7F">
        <w:rPr>
          <w:rFonts w:asciiTheme="majorBidi" w:hAnsiTheme="majorBidi" w:cs="Times New Roman"/>
          <w:sz w:val="24"/>
          <w:szCs w:val="24"/>
          <w:rtl/>
        </w:rPr>
        <w:t xml:space="preserve"> </w:t>
      </w:r>
      <w:r w:rsidRPr="00711942">
        <w:rPr>
          <w:rFonts w:asciiTheme="majorBidi" w:hAnsiTheme="majorBidi" w:cs="Times New Roman"/>
          <w:b/>
          <w:bCs/>
          <w:sz w:val="24"/>
          <w:szCs w:val="24"/>
          <w:rtl/>
        </w:rPr>
        <w:t>אבל אם אומר יהיה כך אות הוא שכן רצון ה' יתברך אין בזה משום נחש</w:t>
      </w:r>
      <w:r w:rsidRPr="00810D7F">
        <w:rPr>
          <w:rFonts w:asciiTheme="majorBidi" w:hAnsiTheme="majorBidi" w:cs="Times New Roman"/>
          <w:sz w:val="24"/>
          <w:szCs w:val="24"/>
          <w:rtl/>
        </w:rPr>
        <w:t>, והוכיח זה מהא דאמרו בחולין צ"ה כל נחש שאינו כאליעזר עבד אברהם וכיונתן בן שאול אינו נחש, ור"ל שאינו סומך עליו לעשות מעשה על פיו, אבל הקשו רבותינו שאיך סמכו עליו אליעזר ויהונתן, והראב"ד לקמן הרי השיג על רבנו בדברים חריפים מאד, לתבוע עלבונם ועי' כ"מ בשם הר"ן ועי' רד"ק שם מה שהאריך אשר על כן דעת רבנו דדוקא ניחוש כעכו"ם אסור, אבל אליעזר הרי אמר אותה הוכחת לעבדך ליצחק ובה אדע כי עשית חסד עם אדוני אברהם, ויהונתן אמר ואם כה יאמרו עלו עלינו ועלינו כי נתנם ה' בידנו וזה לנו האות זה אינו ניחוש כלל שאינו נחש כעכו"ם, וזהו כוונת רבנו ותסור מעליו התלונה</w:t>
      </w:r>
    </w:p>
    <w:p w14:paraId="76643D82" w14:textId="77777777" w:rsidR="00711942" w:rsidRPr="00711942" w:rsidRDefault="00711942" w:rsidP="00711942">
      <w:pPr>
        <w:jc w:val="right"/>
        <w:rPr>
          <w:rFonts w:asciiTheme="majorBidi" w:hAnsiTheme="majorBidi" w:cs="Times New Roman"/>
          <w:b/>
          <w:bCs/>
          <w:sz w:val="24"/>
          <w:szCs w:val="24"/>
        </w:rPr>
      </w:pPr>
      <w:r w:rsidRPr="00711942">
        <w:rPr>
          <w:rFonts w:asciiTheme="majorBidi" w:hAnsiTheme="majorBidi" w:cs="Times New Roman"/>
          <w:b/>
          <w:bCs/>
          <w:sz w:val="24"/>
          <w:szCs w:val="24"/>
          <w:rtl/>
        </w:rPr>
        <w:t>רש"י בראשית פרשת חיי שרה פרק כד</w:t>
      </w:r>
    </w:p>
    <w:p w14:paraId="7E989331" w14:textId="77777777" w:rsidR="00711942" w:rsidRPr="004973E0" w:rsidRDefault="00711942" w:rsidP="00711942">
      <w:pPr>
        <w:jc w:val="right"/>
        <w:rPr>
          <w:rFonts w:asciiTheme="majorBidi" w:hAnsiTheme="majorBidi" w:cs="Times New Roman"/>
          <w:sz w:val="24"/>
          <w:szCs w:val="24"/>
        </w:rPr>
      </w:pPr>
      <w:r w:rsidRPr="00123D82">
        <w:rPr>
          <w:rFonts w:asciiTheme="majorBidi" w:hAnsiTheme="majorBidi" w:cs="Times New Roman"/>
          <w:sz w:val="24"/>
          <w:szCs w:val="24"/>
          <w:rtl/>
        </w:rPr>
        <w:t>ובה אדע - לשוןז תחנה, הודע לי בה</w:t>
      </w:r>
    </w:p>
    <w:p w14:paraId="7732A6EE" w14:textId="77777777" w:rsidR="00711942" w:rsidRPr="00711942" w:rsidRDefault="00711942" w:rsidP="00711942">
      <w:pPr>
        <w:jc w:val="right"/>
        <w:rPr>
          <w:rFonts w:asciiTheme="majorBidi" w:hAnsiTheme="majorBidi" w:cstheme="majorBidi" w:hint="cs"/>
          <w:sz w:val="32"/>
          <w:szCs w:val="32"/>
          <w:rtl/>
        </w:rPr>
      </w:pPr>
    </w:p>
    <w:sectPr w:rsidR="00711942" w:rsidRPr="00711942" w:rsidSect="00357D5C">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42"/>
    <w:rsid w:val="0000590B"/>
    <w:rsid w:val="00357D5C"/>
    <w:rsid w:val="00545065"/>
    <w:rsid w:val="00711942"/>
    <w:rsid w:val="00BF219C"/>
    <w:rsid w:val="00F50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A141"/>
  <w15:chartTrackingRefBased/>
  <w15:docId w15:val="{DB347CCD-F78D-4A37-BDFE-444188E7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tbpere@gmail.com</dc:creator>
  <cp:keywords/>
  <dc:description/>
  <cp:lastModifiedBy>tbpere@gmail.com</cp:lastModifiedBy>
  <cp:revision>2</cp:revision>
  <dcterms:created xsi:type="dcterms:W3CDTF">2022-11-15T07:50:00Z</dcterms:created>
  <dcterms:modified xsi:type="dcterms:W3CDTF">2022-11-15T08:20:00Z</dcterms:modified>
</cp:coreProperties>
</file>