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9DE" w14:textId="58A4BAD7" w:rsidR="00AB54A1" w:rsidRPr="003E34F8" w:rsidRDefault="00AB54A1">
      <w:pPr>
        <w:rPr>
          <w:rtl/>
        </w:rPr>
      </w:pPr>
      <w:r w:rsidRPr="003E34F8">
        <w:rPr>
          <w:rFonts w:hint="cs"/>
          <w:rtl/>
        </w:rPr>
        <w:t xml:space="preserve">ב"ה  </w:t>
      </w:r>
      <w:r w:rsidRPr="003E34F8">
        <w:rPr>
          <w:rtl/>
        </w:rPr>
        <w:tab/>
      </w:r>
      <w:r w:rsidRPr="003E34F8">
        <w:rPr>
          <w:rtl/>
        </w:rPr>
        <w:tab/>
      </w:r>
      <w:r w:rsidRPr="003E34F8">
        <w:rPr>
          <w:rtl/>
        </w:rPr>
        <w:tab/>
      </w:r>
      <w:r w:rsidRPr="003E34F8">
        <w:rPr>
          <w:rtl/>
        </w:rPr>
        <w:tab/>
      </w:r>
      <w:r w:rsidRPr="003E34F8">
        <w:rPr>
          <w:rtl/>
        </w:rPr>
        <w:tab/>
      </w:r>
      <w:r w:rsidRPr="003E34F8">
        <w:rPr>
          <w:rtl/>
        </w:rPr>
        <w:tab/>
      </w:r>
      <w:r w:rsidRPr="003E34F8">
        <w:rPr>
          <w:rtl/>
        </w:rPr>
        <w:tab/>
      </w:r>
      <w:r w:rsidRPr="003E34F8">
        <w:rPr>
          <w:rtl/>
        </w:rPr>
        <w:tab/>
      </w:r>
      <w:r w:rsidRPr="003E34F8">
        <w:rPr>
          <w:rtl/>
        </w:rPr>
        <w:tab/>
      </w:r>
      <w:r w:rsidRPr="003E34F8">
        <w:rPr>
          <w:rFonts w:hint="cs"/>
          <w:rtl/>
        </w:rPr>
        <w:t>הרב ארי שבט</w:t>
      </w:r>
    </w:p>
    <w:p w14:paraId="2C3938FD" w14:textId="1E32E814" w:rsidR="00AB54A1" w:rsidRPr="003E34F8" w:rsidRDefault="003E34F8" w:rsidP="003E34F8">
      <w:pPr>
        <w:jc w:val="center"/>
        <w:rPr>
          <w:rFonts w:hint="cs"/>
          <w:b/>
          <w:bCs/>
          <w:sz w:val="32"/>
          <w:szCs w:val="32"/>
          <w:u w:val="single"/>
          <w:rtl/>
        </w:rPr>
      </w:pPr>
      <w:r w:rsidRPr="003E34F8">
        <w:rPr>
          <w:rFonts w:hint="cs"/>
          <w:b/>
          <w:bCs/>
          <w:sz w:val="32"/>
          <w:szCs w:val="32"/>
          <w:u w:val="single"/>
          <w:rtl/>
        </w:rPr>
        <w:t>אתה לא חי בחלל!</w:t>
      </w:r>
    </w:p>
    <w:p w14:paraId="3FCC803B" w14:textId="4A12857C" w:rsidR="00AB54A1" w:rsidRPr="003E34F8" w:rsidRDefault="00AB54A1" w:rsidP="00AB54A1">
      <w:pPr>
        <w:jc w:val="center"/>
        <w:rPr>
          <w:b/>
          <w:bCs/>
          <w:sz w:val="32"/>
          <w:szCs w:val="32"/>
          <w:u w:val="single"/>
        </w:rPr>
      </w:pPr>
      <w:r w:rsidRPr="003E34F8">
        <w:rPr>
          <w:b/>
          <w:bCs/>
          <w:sz w:val="32"/>
          <w:szCs w:val="32"/>
          <w:u w:val="single"/>
        </w:rPr>
        <w:t>You Don't Live in a Vacuum!</w:t>
      </w:r>
      <w:r w:rsidR="003E34F8" w:rsidRPr="003E34F8">
        <w:rPr>
          <w:b/>
          <w:bCs/>
          <w:sz w:val="32"/>
          <w:szCs w:val="32"/>
          <w:u w:val="single"/>
        </w:rPr>
        <w:t>"</w:t>
      </w:r>
      <w:r w:rsidR="003E34F8" w:rsidRPr="003E34F8">
        <w:rPr>
          <w:rFonts w:hint="cs"/>
          <w:b/>
          <w:bCs/>
          <w:sz w:val="32"/>
          <w:szCs w:val="32"/>
          <w:u w:val="single"/>
          <w:rtl/>
        </w:rPr>
        <w:t>"</w:t>
      </w:r>
    </w:p>
    <w:p w14:paraId="401A4264" w14:textId="77777777" w:rsidR="00A363F7" w:rsidRPr="003E34F8" w:rsidRDefault="00A363F7" w:rsidP="00A363F7">
      <w:pPr>
        <w:autoSpaceDE w:val="0"/>
        <w:autoSpaceDN w:val="0"/>
        <w:adjustRightInd w:val="0"/>
        <w:spacing w:after="0" w:line="240" w:lineRule="auto"/>
        <w:rPr>
          <w:rFonts w:ascii="David" w:hAnsi="David" w:cs="David"/>
          <w:bCs/>
          <w:kern w:val="0"/>
          <w:sz w:val="28"/>
          <w:szCs w:val="28"/>
          <w:rtl/>
        </w:rPr>
      </w:pPr>
    </w:p>
    <w:p w14:paraId="5BB9B335" w14:textId="2E0003FB" w:rsidR="00A363F7" w:rsidRPr="00DF244E" w:rsidRDefault="003E34F8" w:rsidP="00A363F7">
      <w:pPr>
        <w:autoSpaceDE w:val="0"/>
        <w:autoSpaceDN w:val="0"/>
        <w:adjustRightInd w:val="0"/>
        <w:spacing w:after="0" w:line="240" w:lineRule="auto"/>
        <w:rPr>
          <w:rFonts w:ascii="David" w:hAnsi="David" w:cs="David"/>
          <w:b/>
          <w:bCs/>
          <w:kern w:val="0"/>
          <w:sz w:val="28"/>
          <w:szCs w:val="28"/>
          <w:rtl/>
        </w:rPr>
      </w:pPr>
      <w:r w:rsidRPr="003E34F8">
        <w:rPr>
          <w:rFonts w:ascii="David" w:hAnsi="David" w:cs="David" w:hint="cs"/>
          <w:bCs/>
          <w:kern w:val="0"/>
          <w:sz w:val="28"/>
          <w:szCs w:val="28"/>
          <w:rtl/>
        </w:rPr>
        <w:t xml:space="preserve">1. </w:t>
      </w:r>
      <w:proofErr w:type="spellStart"/>
      <w:r w:rsidR="00A363F7" w:rsidRPr="003E34F8">
        <w:rPr>
          <w:rFonts w:ascii="David" w:hAnsi="David" w:cs="David"/>
          <w:bCs/>
          <w:kern w:val="0"/>
          <w:sz w:val="28"/>
          <w:szCs w:val="28"/>
          <w:rtl/>
        </w:rPr>
        <w:t>הראי"ה</w:t>
      </w:r>
      <w:proofErr w:type="spellEnd"/>
      <w:r w:rsidR="00A363F7" w:rsidRPr="003E34F8">
        <w:rPr>
          <w:rFonts w:ascii="David" w:hAnsi="David" w:cs="David"/>
          <w:bCs/>
          <w:kern w:val="0"/>
          <w:sz w:val="28"/>
          <w:szCs w:val="28"/>
          <w:rtl/>
        </w:rPr>
        <w:t xml:space="preserve"> קוק, </w:t>
      </w:r>
      <w:r w:rsidR="00A363F7" w:rsidRPr="003E34F8">
        <w:rPr>
          <w:rFonts w:ascii="David" w:hAnsi="David" w:cs="David"/>
          <w:bCs/>
          <w:kern w:val="0"/>
          <w:sz w:val="28"/>
          <w:szCs w:val="28"/>
          <w:rtl/>
        </w:rPr>
        <w:t xml:space="preserve">עין איה שבת </w:t>
      </w:r>
      <w:r w:rsidR="00A363F7" w:rsidRPr="003E34F8">
        <w:rPr>
          <w:rFonts w:ascii="David" w:hAnsi="David" w:cs="David"/>
          <w:bCs/>
          <w:kern w:val="0"/>
          <w:sz w:val="28"/>
          <w:szCs w:val="28"/>
          <w:rtl/>
        </w:rPr>
        <w:t>ה,</w:t>
      </w:r>
      <w:r w:rsidR="00A363F7" w:rsidRPr="003E34F8">
        <w:rPr>
          <w:rFonts w:ascii="David" w:hAnsi="David" w:cs="David"/>
          <w:bCs/>
          <w:kern w:val="0"/>
          <w:sz w:val="28"/>
          <w:szCs w:val="28"/>
          <w:rtl/>
        </w:rPr>
        <w:t xml:space="preserve"> </w:t>
      </w:r>
      <w:proofErr w:type="spellStart"/>
      <w:r w:rsidR="00A363F7" w:rsidRPr="003E34F8">
        <w:rPr>
          <w:rFonts w:ascii="David" w:hAnsi="David" w:cs="David"/>
          <w:bCs/>
          <w:kern w:val="0"/>
          <w:sz w:val="28"/>
          <w:szCs w:val="28"/>
          <w:rtl/>
        </w:rPr>
        <w:t>לז</w:t>
      </w:r>
      <w:proofErr w:type="spellEnd"/>
      <w:r w:rsidR="00DF244E">
        <w:rPr>
          <w:rFonts w:ascii="David" w:hAnsi="David" w:cs="David" w:hint="cs"/>
          <w:bCs/>
          <w:kern w:val="0"/>
          <w:sz w:val="28"/>
          <w:szCs w:val="28"/>
          <w:rtl/>
        </w:rPr>
        <w:t>,</w:t>
      </w:r>
      <w:r w:rsidR="00A363F7" w:rsidRPr="003E34F8">
        <w:rPr>
          <w:rFonts w:ascii="David" w:hAnsi="David" w:cs="David"/>
          <w:kern w:val="0"/>
          <w:sz w:val="28"/>
          <w:szCs w:val="28"/>
          <w:rtl/>
        </w:rPr>
        <w:t xml:space="preserve"> </w:t>
      </w:r>
      <w:r w:rsidR="00A363F7" w:rsidRPr="00DF244E">
        <w:rPr>
          <w:rFonts w:ascii="David" w:hAnsi="David" w:cs="David"/>
          <w:b/>
          <w:bCs/>
          <w:kern w:val="0"/>
          <w:sz w:val="28"/>
          <w:szCs w:val="28"/>
          <w:rtl/>
        </w:rPr>
        <w:t>על מסכת</w:t>
      </w:r>
      <w:r w:rsidR="00A363F7" w:rsidRPr="00DF244E">
        <w:rPr>
          <w:rFonts w:ascii="David" w:hAnsi="David" w:cs="David"/>
          <w:b/>
          <w:bCs/>
          <w:kern w:val="0"/>
          <w:sz w:val="28"/>
          <w:szCs w:val="28"/>
          <w:rtl/>
        </w:rPr>
        <w:t xml:space="preserve"> שבת דף </w:t>
      </w:r>
      <w:proofErr w:type="spellStart"/>
      <w:r w:rsidR="00A363F7" w:rsidRPr="00DF244E">
        <w:rPr>
          <w:rFonts w:ascii="David" w:hAnsi="David" w:cs="David"/>
          <w:b/>
          <w:bCs/>
          <w:kern w:val="0"/>
          <w:sz w:val="28"/>
          <w:szCs w:val="28"/>
          <w:rtl/>
        </w:rPr>
        <w:t>נה</w:t>
      </w:r>
      <w:proofErr w:type="spellEnd"/>
      <w:r w:rsidR="00A363F7" w:rsidRPr="00DF244E">
        <w:rPr>
          <w:rFonts w:ascii="David" w:hAnsi="David" w:cs="David"/>
          <w:b/>
          <w:bCs/>
          <w:kern w:val="0"/>
          <w:sz w:val="28"/>
          <w:szCs w:val="28"/>
          <w:rtl/>
        </w:rPr>
        <w:t xml:space="preserve"> ע”ב </w:t>
      </w:r>
    </w:p>
    <w:p w14:paraId="7C1085EB" w14:textId="77777777" w:rsidR="00A363F7" w:rsidRPr="003E34F8" w:rsidRDefault="00A363F7" w:rsidP="00A363F7">
      <w:pPr>
        <w:autoSpaceDE w:val="0"/>
        <w:autoSpaceDN w:val="0"/>
        <w:adjustRightInd w:val="0"/>
        <w:spacing w:after="0" w:line="240" w:lineRule="auto"/>
        <w:rPr>
          <w:rFonts w:ascii="David" w:hAnsi="David" w:cs="David"/>
          <w:kern w:val="0"/>
          <w:sz w:val="28"/>
          <w:szCs w:val="28"/>
          <w:rtl/>
        </w:rPr>
      </w:pPr>
      <w:r w:rsidRPr="003E34F8">
        <w:rPr>
          <w:rFonts w:ascii="David" w:hAnsi="David" w:cs="David"/>
          <w:bCs/>
          <w:kern w:val="0"/>
          <w:sz w:val="28"/>
          <w:szCs w:val="28"/>
          <w:rtl/>
        </w:rPr>
        <w:t xml:space="preserve">א. </w:t>
      </w:r>
      <w:r w:rsidRPr="003E34F8">
        <w:rPr>
          <w:rFonts w:ascii="David" w:hAnsi="David" w:cs="David"/>
          <w:bCs/>
          <w:kern w:val="0"/>
          <w:sz w:val="28"/>
          <w:szCs w:val="28"/>
          <w:rtl/>
        </w:rPr>
        <w:t xml:space="preserve">מיתיבי, אמרו מלאכי השרת לפני הקב"ה, </w:t>
      </w:r>
      <w:proofErr w:type="spellStart"/>
      <w:r w:rsidRPr="003E34F8">
        <w:rPr>
          <w:rFonts w:ascii="David" w:hAnsi="David" w:cs="David"/>
          <w:bCs/>
          <w:kern w:val="0"/>
          <w:sz w:val="28"/>
          <w:szCs w:val="28"/>
          <w:rtl/>
        </w:rPr>
        <w:t>רבונו</w:t>
      </w:r>
      <w:proofErr w:type="spellEnd"/>
      <w:r w:rsidRPr="003E34F8">
        <w:rPr>
          <w:rFonts w:ascii="David" w:hAnsi="David" w:cs="David"/>
          <w:bCs/>
          <w:kern w:val="0"/>
          <w:sz w:val="28"/>
          <w:szCs w:val="28"/>
          <w:rtl/>
        </w:rPr>
        <w:t xml:space="preserve"> ש"ע, מפני מה קנסת מיתה על אדם הראשון. א"ל מצוה קלה </w:t>
      </w:r>
      <w:proofErr w:type="spellStart"/>
      <w:r w:rsidRPr="003E34F8">
        <w:rPr>
          <w:rFonts w:ascii="David" w:hAnsi="David" w:cs="David"/>
          <w:bCs/>
          <w:kern w:val="0"/>
          <w:sz w:val="28"/>
          <w:szCs w:val="28"/>
          <w:rtl/>
        </w:rPr>
        <w:t>צויתיו</w:t>
      </w:r>
      <w:proofErr w:type="spellEnd"/>
      <w:r w:rsidRPr="003E34F8">
        <w:rPr>
          <w:rFonts w:ascii="David" w:hAnsi="David" w:cs="David"/>
          <w:bCs/>
          <w:kern w:val="0"/>
          <w:sz w:val="28"/>
          <w:szCs w:val="28"/>
          <w:rtl/>
        </w:rPr>
        <w:t xml:space="preserve"> ועבר עליה. א"ל והלא משה ואהרן שקיימו כל התורה כולה ומתו. א"ל "מקרה אחד לצדיק ולרשע לטוב וגו'".</w:t>
      </w:r>
      <w:r w:rsidRPr="003E34F8">
        <w:rPr>
          <w:rFonts w:ascii="David" w:hAnsi="David" w:cs="David"/>
          <w:kern w:val="0"/>
          <w:sz w:val="28"/>
          <w:szCs w:val="28"/>
          <w:rtl/>
        </w:rPr>
        <w:t xml:space="preserve"> </w:t>
      </w:r>
    </w:p>
    <w:p w14:paraId="3EB3E73D" w14:textId="77777777" w:rsidR="00A363F7" w:rsidRPr="003E34F8" w:rsidRDefault="00A363F7" w:rsidP="00A363F7">
      <w:pPr>
        <w:autoSpaceDE w:val="0"/>
        <w:autoSpaceDN w:val="0"/>
        <w:adjustRightInd w:val="0"/>
        <w:spacing w:after="0" w:line="240" w:lineRule="auto"/>
        <w:rPr>
          <w:rFonts w:ascii="David" w:hAnsi="David" w:cs="David"/>
          <w:kern w:val="0"/>
          <w:sz w:val="28"/>
          <w:szCs w:val="28"/>
          <w:rtl/>
        </w:rPr>
      </w:pPr>
      <w:r w:rsidRPr="003E34F8">
        <w:rPr>
          <w:rFonts w:ascii="David" w:hAnsi="David" w:cs="David"/>
          <w:kern w:val="0"/>
          <w:sz w:val="28"/>
          <w:szCs w:val="28"/>
          <w:rtl/>
        </w:rPr>
        <w:t xml:space="preserve">ב. </w:t>
      </w:r>
      <w:r w:rsidRPr="003E34F8">
        <w:rPr>
          <w:rFonts w:ascii="David" w:hAnsi="David" w:cs="David"/>
          <w:kern w:val="0"/>
          <w:sz w:val="28"/>
          <w:szCs w:val="28"/>
          <w:rtl/>
        </w:rPr>
        <w:t xml:space="preserve">אע"פ שכל איש ואיש </w:t>
      </w:r>
      <w:proofErr w:type="spellStart"/>
      <w:r w:rsidRPr="003E34F8">
        <w:rPr>
          <w:rFonts w:ascii="David" w:hAnsi="David" w:cs="David"/>
          <w:kern w:val="0"/>
          <w:sz w:val="28"/>
          <w:szCs w:val="28"/>
          <w:rtl/>
        </w:rPr>
        <w:t>מתיחד</w:t>
      </w:r>
      <w:proofErr w:type="spellEnd"/>
      <w:r w:rsidRPr="003E34F8">
        <w:rPr>
          <w:rFonts w:ascii="David" w:hAnsi="David" w:cs="David"/>
          <w:kern w:val="0"/>
          <w:sz w:val="28"/>
          <w:szCs w:val="28"/>
          <w:rtl/>
        </w:rPr>
        <w:t xml:space="preserve"> בבחירתו במצבו המוסרי, מ"מ כללות התכונה של הנפש האנושית בכללה פועלת על כל אחד ואחד גם באופנים </w:t>
      </w:r>
      <w:r w:rsidRPr="003E34F8">
        <w:rPr>
          <w:rFonts w:ascii="David" w:hAnsi="David" w:cs="David"/>
          <w:b/>
          <w:bCs/>
          <w:kern w:val="0"/>
          <w:sz w:val="28"/>
          <w:szCs w:val="28"/>
          <w:rtl/>
        </w:rPr>
        <w:t>היוצאים מגבול בחירתו</w:t>
      </w:r>
      <w:r w:rsidRPr="003E34F8">
        <w:rPr>
          <w:rFonts w:ascii="David" w:hAnsi="David" w:cs="David"/>
          <w:kern w:val="0"/>
          <w:sz w:val="28"/>
          <w:szCs w:val="28"/>
          <w:rtl/>
        </w:rPr>
        <w:t xml:space="preserve">. </w:t>
      </w:r>
    </w:p>
    <w:p w14:paraId="7E1CD024" w14:textId="48B90F5B" w:rsidR="00A363F7" w:rsidRPr="003E34F8" w:rsidRDefault="00A363F7" w:rsidP="00A363F7">
      <w:pPr>
        <w:autoSpaceDE w:val="0"/>
        <w:autoSpaceDN w:val="0"/>
        <w:adjustRightInd w:val="0"/>
        <w:spacing w:after="0" w:line="240" w:lineRule="auto"/>
        <w:rPr>
          <w:rFonts w:ascii="David" w:hAnsi="David" w:cs="David"/>
          <w:kern w:val="0"/>
          <w:sz w:val="28"/>
          <w:szCs w:val="28"/>
          <w:rtl/>
        </w:rPr>
      </w:pPr>
      <w:r w:rsidRPr="003E34F8">
        <w:rPr>
          <w:rFonts w:ascii="David" w:hAnsi="David" w:cs="David"/>
          <w:kern w:val="0"/>
          <w:sz w:val="28"/>
          <w:szCs w:val="28"/>
          <w:rtl/>
        </w:rPr>
        <w:t xml:space="preserve">ג. </w:t>
      </w:r>
      <w:r w:rsidRPr="003E34F8">
        <w:rPr>
          <w:rFonts w:ascii="David" w:hAnsi="David" w:cs="David"/>
          <w:kern w:val="0"/>
          <w:sz w:val="28"/>
          <w:szCs w:val="28"/>
          <w:rtl/>
        </w:rPr>
        <w:t xml:space="preserve">הירידה המוסרית של אדם הראשון קבעה בו פחת כזה שרק ע"י חילופי מעברות יבא לרוממות שלמותו, אשר לזה שואפת ההטבה </w:t>
      </w:r>
      <w:proofErr w:type="spellStart"/>
      <w:r w:rsidRPr="003E34F8">
        <w:rPr>
          <w:rFonts w:ascii="David" w:hAnsi="David" w:cs="David"/>
          <w:kern w:val="0"/>
          <w:sz w:val="28"/>
          <w:szCs w:val="28"/>
          <w:rtl/>
        </w:rPr>
        <w:t>האלהית</w:t>
      </w:r>
      <w:proofErr w:type="spellEnd"/>
      <w:r w:rsidRPr="003E34F8">
        <w:rPr>
          <w:rFonts w:ascii="David" w:hAnsi="David" w:cs="David"/>
          <w:kern w:val="0"/>
          <w:sz w:val="28"/>
          <w:szCs w:val="28"/>
          <w:rtl/>
        </w:rPr>
        <w:t xml:space="preserve"> השלמה. ואחרי שכבר ההתעלות צריכה </w:t>
      </w:r>
      <w:proofErr w:type="spellStart"/>
      <w:r w:rsidRPr="003E34F8">
        <w:rPr>
          <w:rFonts w:ascii="David" w:hAnsi="David" w:cs="David"/>
          <w:kern w:val="0"/>
          <w:sz w:val="28"/>
          <w:szCs w:val="28"/>
          <w:rtl/>
        </w:rPr>
        <w:t>להקבע</w:t>
      </w:r>
      <w:proofErr w:type="spellEnd"/>
      <w:r w:rsidRPr="003E34F8">
        <w:rPr>
          <w:rFonts w:ascii="David" w:hAnsi="David" w:cs="David"/>
          <w:kern w:val="0"/>
          <w:sz w:val="28"/>
          <w:szCs w:val="28"/>
          <w:rtl/>
        </w:rPr>
        <w:t xml:space="preserve"> בנפש האנושית בכללה, שמצד[ה] צריכה היא למעבר של המיתה וכל </w:t>
      </w:r>
      <w:proofErr w:type="spellStart"/>
      <w:r w:rsidRPr="003E34F8">
        <w:rPr>
          <w:rFonts w:ascii="David" w:hAnsi="David" w:cs="David"/>
          <w:kern w:val="0"/>
          <w:sz w:val="28"/>
          <w:szCs w:val="28"/>
          <w:rtl/>
        </w:rPr>
        <w:t>ההתחלפ</w:t>
      </w:r>
      <w:proofErr w:type="spellEnd"/>
      <w:r w:rsidRPr="003E34F8">
        <w:rPr>
          <w:rFonts w:ascii="David" w:hAnsi="David" w:cs="David"/>
          <w:kern w:val="0"/>
          <w:sz w:val="28"/>
          <w:szCs w:val="28"/>
          <w:rtl/>
        </w:rPr>
        <w:t>[וי]</w:t>
      </w:r>
      <w:proofErr w:type="spellStart"/>
      <w:r w:rsidRPr="003E34F8">
        <w:rPr>
          <w:rFonts w:ascii="David" w:hAnsi="David" w:cs="David"/>
          <w:kern w:val="0"/>
          <w:sz w:val="28"/>
          <w:szCs w:val="28"/>
          <w:rtl/>
        </w:rPr>
        <w:t>ות</w:t>
      </w:r>
      <w:proofErr w:type="spellEnd"/>
      <w:r w:rsidRPr="003E34F8">
        <w:rPr>
          <w:rFonts w:ascii="David" w:hAnsi="David" w:cs="David"/>
          <w:kern w:val="0"/>
          <w:sz w:val="28"/>
          <w:szCs w:val="28"/>
          <w:rtl/>
        </w:rPr>
        <w:t xml:space="preserve"> הבאות לרגלה, ממילא אין באפשר שיצאו מן הכלל אנשים יחידים שהגיעו במעלת בחירתם עד הגבול היותר מרומם, שאיננו צריך עוד תמורה ע"י מעבר המיתה, מפני שרק תכונתם העצמית יכולים הם להביא לידי המעלה היותר מעולה, שהוא דבר [ה] תלוי בהם. אבל איך יביאו לידי המעלה הגמורה את אותו החלק הנמסך בנפשם מנפש האנושית הכוללת, שזה א"א שיתוקן כ"א ע"י התעלות כללית לכל האדם אשר ע"פ האדמה, כי תמלא "הארץ דעה את ד' כמים לים מכסים" </w:t>
      </w:r>
      <w:r w:rsidRPr="003E34F8">
        <w:rPr>
          <w:rFonts w:ascii="David" w:hAnsi="David" w:cs="David"/>
          <w:kern w:val="0"/>
          <w:sz w:val="28"/>
          <w:szCs w:val="28"/>
          <w:rtl/>
        </w:rPr>
        <w:t>(</w:t>
      </w:r>
      <w:r w:rsidRPr="003E34F8">
        <w:rPr>
          <w:rFonts w:ascii="David" w:hAnsi="David" w:cs="David"/>
          <w:kern w:val="0"/>
          <w:sz w:val="28"/>
          <w:szCs w:val="28"/>
          <w:rtl/>
        </w:rPr>
        <w:t>ישעיה יא, ט</w:t>
      </w:r>
      <w:r w:rsidRPr="003E34F8">
        <w:rPr>
          <w:rFonts w:ascii="David" w:hAnsi="David" w:cs="David"/>
          <w:kern w:val="0"/>
          <w:sz w:val="28"/>
          <w:szCs w:val="28"/>
          <w:rtl/>
        </w:rPr>
        <w:t>)</w:t>
      </w:r>
      <w:r w:rsidRPr="003E34F8">
        <w:rPr>
          <w:rFonts w:ascii="David" w:hAnsi="David" w:cs="David"/>
          <w:kern w:val="0"/>
          <w:sz w:val="28"/>
          <w:szCs w:val="28"/>
          <w:rtl/>
        </w:rPr>
        <w:t xml:space="preserve">, וכל זמן שלא נתקן הצד הכללי אין הבחירה מכרעת בדבר, כי </w:t>
      </w:r>
      <w:r w:rsidRPr="003E34F8">
        <w:rPr>
          <w:rFonts w:ascii="David" w:hAnsi="David" w:cs="David"/>
          <w:bCs/>
          <w:kern w:val="0"/>
          <w:sz w:val="28"/>
          <w:szCs w:val="28"/>
          <w:rtl/>
        </w:rPr>
        <w:t>"מקרה אחד [...] לטוב וגו'"</w:t>
      </w:r>
      <w:r w:rsidRPr="003E34F8">
        <w:rPr>
          <w:rFonts w:ascii="David" w:hAnsi="David" w:cs="David"/>
          <w:kern w:val="0"/>
          <w:sz w:val="28"/>
          <w:szCs w:val="28"/>
          <w:rtl/>
        </w:rPr>
        <w:t xml:space="preserve">. </w:t>
      </w:r>
    </w:p>
    <w:p w14:paraId="243065E3" w14:textId="77777777" w:rsidR="00B41F2B" w:rsidRPr="003E34F8" w:rsidRDefault="00B41F2B" w:rsidP="00A363F7">
      <w:pPr>
        <w:autoSpaceDE w:val="0"/>
        <w:autoSpaceDN w:val="0"/>
        <w:adjustRightInd w:val="0"/>
        <w:spacing w:after="0" w:line="240" w:lineRule="auto"/>
        <w:rPr>
          <w:rFonts w:ascii="David" w:hAnsi="David" w:cs="David"/>
          <w:kern w:val="0"/>
          <w:sz w:val="28"/>
          <w:szCs w:val="28"/>
          <w:rtl/>
        </w:rPr>
      </w:pPr>
    </w:p>
    <w:p w14:paraId="794E0588" w14:textId="785A0108" w:rsidR="00B41F2B" w:rsidRPr="003E34F8" w:rsidRDefault="003E34F8" w:rsidP="00B41F2B">
      <w:pPr>
        <w:autoSpaceDE w:val="0"/>
        <w:autoSpaceDN w:val="0"/>
        <w:adjustRightInd w:val="0"/>
        <w:spacing w:after="0" w:line="240" w:lineRule="auto"/>
        <w:rPr>
          <w:rFonts w:ascii="David" w:hAnsi="David" w:cs="David"/>
          <w:bCs/>
          <w:kern w:val="0"/>
          <w:sz w:val="28"/>
          <w:szCs w:val="28"/>
          <w:rtl/>
        </w:rPr>
      </w:pPr>
      <w:r w:rsidRPr="003E34F8">
        <w:rPr>
          <w:rFonts w:ascii="David" w:hAnsi="David" w:cs="David" w:hint="cs"/>
          <w:bCs/>
          <w:kern w:val="0"/>
          <w:sz w:val="28"/>
          <w:szCs w:val="28"/>
          <w:rtl/>
        </w:rPr>
        <w:t xml:space="preserve">2. </w:t>
      </w:r>
      <w:proofErr w:type="spellStart"/>
      <w:r w:rsidR="00B41F2B" w:rsidRPr="003E34F8">
        <w:rPr>
          <w:rFonts w:ascii="David" w:hAnsi="David" w:cs="David"/>
          <w:bCs/>
          <w:kern w:val="0"/>
          <w:sz w:val="28"/>
          <w:szCs w:val="28"/>
          <w:rtl/>
        </w:rPr>
        <w:t>הראי"ה</w:t>
      </w:r>
      <w:proofErr w:type="spellEnd"/>
      <w:r w:rsidR="00B41F2B" w:rsidRPr="003E34F8">
        <w:rPr>
          <w:rFonts w:ascii="David" w:hAnsi="David" w:cs="David"/>
          <w:bCs/>
          <w:kern w:val="0"/>
          <w:sz w:val="28"/>
          <w:szCs w:val="28"/>
          <w:rtl/>
        </w:rPr>
        <w:t xml:space="preserve"> קוק, עין איה שבת ה, לו על מסכת </w:t>
      </w:r>
      <w:r w:rsidR="00B41F2B" w:rsidRPr="003E34F8">
        <w:rPr>
          <w:rFonts w:ascii="David" w:hAnsi="David" w:cs="David"/>
          <w:b/>
          <w:bCs/>
          <w:kern w:val="0"/>
          <w:sz w:val="28"/>
          <w:szCs w:val="28"/>
          <w:rtl/>
        </w:rPr>
        <w:t xml:space="preserve">שבת דף </w:t>
      </w:r>
      <w:proofErr w:type="spellStart"/>
      <w:r w:rsidR="00B41F2B" w:rsidRPr="003E34F8">
        <w:rPr>
          <w:rFonts w:ascii="David" w:hAnsi="David" w:cs="David"/>
          <w:b/>
          <w:bCs/>
          <w:kern w:val="0"/>
          <w:sz w:val="28"/>
          <w:szCs w:val="28"/>
          <w:rtl/>
        </w:rPr>
        <w:t>נה</w:t>
      </w:r>
      <w:proofErr w:type="spellEnd"/>
      <w:r w:rsidR="00B41F2B" w:rsidRPr="003E34F8">
        <w:rPr>
          <w:rFonts w:ascii="David" w:hAnsi="David" w:cs="David"/>
          <w:b/>
          <w:bCs/>
          <w:kern w:val="0"/>
          <w:sz w:val="28"/>
          <w:szCs w:val="28"/>
          <w:rtl/>
        </w:rPr>
        <w:t xml:space="preserve"> ע</w:t>
      </w:r>
      <w:r w:rsidR="00B41F2B" w:rsidRPr="003E34F8">
        <w:rPr>
          <w:rFonts w:ascii="David" w:hAnsi="David" w:cs="David"/>
          <w:b/>
          <w:bCs/>
          <w:kern w:val="0"/>
          <w:sz w:val="28"/>
          <w:szCs w:val="28"/>
          <w:rtl/>
        </w:rPr>
        <w:t>"</w:t>
      </w:r>
      <w:r w:rsidR="00B41F2B" w:rsidRPr="003E34F8">
        <w:rPr>
          <w:rFonts w:ascii="David" w:hAnsi="David" w:cs="David"/>
          <w:b/>
          <w:bCs/>
          <w:kern w:val="0"/>
          <w:sz w:val="28"/>
          <w:szCs w:val="28"/>
          <w:rtl/>
        </w:rPr>
        <w:t>א</w:t>
      </w:r>
      <w:r w:rsidR="00B41F2B" w:rsidRPr="003E34F8">
        <w:rPr>
          <w:rFonts w:ascii="David" w:hAnsi="David" w:cs="David"/>
          <w:kern w:val="0"/>
          <w:sz w:val="28"/>
          <w:szCs w:val="28"/>
          <w:rtl/>
        </w:rPr>
        <w:t xml:space="preserve"> </w:t>
      </w:r>
    </w:p>
    <w:p w14:paraId="6B7EC4BA" w14:textId="74484C2A" w:rsidR="00B41F2B" w:rsidRPr="003E34F8" w:rsidRDefault="00B41F2B" w:rsidP="00B41F2B">
      <w:pPr>
        <w:autoSpaceDE w:val="0"/>
        <w:autoSpaceDN w:val="0"/>
        <w:adjustRightInd w:val="0"/>
        <w:spacing w:after="0" w:line="240" w:lineRule="auto"/>
        <w:rPr>
          <w:rFonts w:ascii="David" w:hAnsi="David" w:cs="David"/>
          <w:kern w:val="0"/>
          <w:sz w:val="28"/>
          <w:szCs w:val="28"/>
          <w:rtl/>
        </w:rPr>
      </w:pPr>
      <w:r w:rsidRPr="003E34F8">
        <w:rPr>
          <w:rFonts w:ascii="David" w:hAnsi="David" w:cs="David"/>
          <w:kern w:val="0"/>
          <w:sz w:val="28"/>
          <w:szCs w:val="28"/>
          <w:rtl/>
        </w:rPr>
        <w:t xml:space="preserve">א. סדרי היצורים שנחקקו מאת </w:t>
      </w:r>
      <w:r w:rsidRPr="003E34F8">
        <w:rPr>
          <w:rFonts w:ascii="David" w:hAnsi="David" w:cs="David"/>
          <w:b/>
          <w:bCs/>
          <w:kern w:val="0"/>
          <w:sz w:val="28"/>
          <w:szCs w:val="28"/>
          <w:rtl/>
        </w:rPr>
        <w:t>צור</w:t>
      </w:r>
      <w:r w:rsidRPr="003E34F8">
        <w:rPr>
          <w:rFonts w:ascii="David" w:hAnsi="David" w:cs="David"/>
          <w:kern w:val="0"/>
          <w:sz w:val="28"/>
          <w:szCs w:val="28"/>
          <w:rtl/>
        </w:rPr>
        <w:t xml:space="preserve"> כל העולמים ב"ה, הוא להיות מוסיפים והולכים בשלמותם</w:t>
      </w:r>
      <w:r w:rsidRPr="003E34F8">
        <w:rPr>
          <w:rFonts w:ascii="David" w:hAnsi="David" w:cs="David"/>
          <w:kern w:val="0"/>
          <w:sz w:val="28"/>
          <w:szCs w:val="28"/>
          <w:rtl/>
        </w:rPr>
        <w:t>...</w:t>
      </w:r>
      <w:r w:rsidRPr="003E34F8">
        <w:rPr>
          <w:rFonts w:ascii="David" w:hAnsi="David" w:cs="David"/>
          <w:kern w:val="0"/>
          <w:sz w:val="28"/>
          <w:szCs w:val="28"/>
          <w:rtl/>
        </w:rPr>
        <w:t xml:space="preserve"> ע"כ, אם המעמד המוסרי לא נגמר בכללותו, ולא בא עד אותה המדרגה השלמה שאין החטא נמצא עמה, הרי המיתה מוכרחת לו למען שכלולה של היצירה ההולכת ומתקדמת, עד באה אל המגמה של המנוחה, מציאות האדם השלם בתכלית המוסר היותר זך ועליון שהחטא לא נמצא בו.</w:t>
      </w:r>
    </w:p>
    <w:p w14:paraId="44E7F0CC" w14:textId="31612D9D" w:rsidR="00A363F7" w:rsidRPr="003E34F8" w:rsidRDefault="00A363F7" w:rsidP="003E34F8">
      <w:pPr>
        <w:autoSpaceDE w:val="0"/>
        <w:autoSpaceDN w:val="0"/>
        <w:adjustRightInd w:val="0"/>
        <w:spacing w:after="0" w:line="240" w:lineRule="auto"/>
        <w:rPr>
          <w:rFonts w:ascii="David" w:hAnsi="David" w:cs="David"/>
          <w:kern w:val="0"/>
          <w:sz w:val="28"/>
          <w:szCs w:val="28"/>
          <w:rtl/>
        </w:rPr>
      </w:pPr>
      <w:r w:rsidRPr="003E34F8">
        <w:rPr>
          <w:rFonts w:ascii="David" w:hAnsi="David" w:cs="David"/>
          <w:kern w:val="0"/>
          <w:sz w:val="28"/>
          <w:szCs w:val="28"/>
          <w:rtl/>
        </w:rPr>
        <w:t xml:space="preserve"> </w:t>
      </w:r>
    </w:p>
    <w:p w14:paraId="3F8CA500" w14:textId="3819F79D" w:rsidR="00A363F7" w:rsidRPr="003E34F8" w:rsidRDefault="003E34F8" w:rsidP="003E34F8">
      <w:pPr>
        <w:autoSpaceDE w:val="0"/>
        <w:autoSpaceDN w:val="0"/>
        <w:adjustRightInd w:val="0"/>
        <w:spacing w:after="0" w:line="240" w:lineRule="auto"/>
        <w:rPr>
          <w:rFonts w:ascii="David" w:hAnsi="David" w:cs="David"/>
          <w:b/>
          <w:bCs/>
          <w:sz w:val="28"/>
          <w:szCs w:val="28"/>
          <w:rtl/>
        </w:rPr>
      </w:pPr>
      <w:r w:rsidRPr="003E34F8">
        <w:rPr>
          <w:rFonts w:ascii="David" w:hAnsi="David" w:cs="David" w:hint="cs"/>
          <w:kern w:val="0"/>
          <w:sz w:val="28"/>
          <w:szCs w:val="28"/>
          <w:rtl/>
        </w:rPr>
        <w:t>3.</w:t>
      </w:r>
      <w:r w:rsidR="00A363F7" w:rsidRPr="003E34F8">
        <w:rPr>
          <w:rFonts w:ascii="David" w:hAnsi="David" w:cs="David"/>
          <w:kern w:val="0"/>
          <w:sz w:val="28"/>
          <w:szCs w:val="28"/>
          <w:rtl/>
        </w:rPr>
        <w:t xml:space="preserve"> </w:t>
      </w:r>
      <w:r w:rsidR="00A363F7" w:rsidRPr="003E34F8">
        <w:rPr>
          <w:rFonts w:ascii="David" w:hAnsi="David" w:cs="David"/>
          <w:b/>
          <w:bCs/>
          <w:sz w:val="28"/>
          <w:szCs w:val="28"/>
          <w:rtl/>
        </w:rPr>
        <w:t xml:space="preserve">אורות הקודש, חלק ב, עמ' </w:t>
      </w:r>
      <w:proofErr w:type="spellStart"/>
      <w:r w:rsidR="00A363F7" w:rsidRPr="003E34F8">
        <w:rPr>
          <w:rFonts w:ascii="David" w:hAnsi="David" w:cs="David"/>
          <w:b/>
          <w:bCs/>
          <w:sz w:val="28"/>
          <w:szCs w:val="28"/>
          <w:rtl/>
        </w:rPr>
        <w:t>תלט</w:t>
      </w:r>
      <w:proofErr w:type="spellEnd"/>
      <w:r w:rsidR="00A363F7" w:rsidRPr="003E34F8">
        <w:rPr>
          <w:rFonts w:ascii="David" w:hAnsi="David" w:cs="David"/>
          <w:b/>
          <w:bCs/>
          <w:sz w:val="28"/>
          <w:szCs w:val="28"/>
          <w:rtl/>
        </w:rPr>
        <w:t xml:space="preserve">, הבדלה והכללה - </w:t>
      </w:r>
      <w:proofErr w:type="spellStart"/>
      <w:r w:rsidR="00A363F7" w:rsidRPr="003E34F8">
        <w:rPr>
          <w:rFonts w:ascii="David" w:hAnsi="David" w:cs="David"/>
          <w:b/>
          <w:bCs/>
          <w:sz w:val="28"/>
          <w:szCs w:val="28"/>
          <w:rtl/>
        </w:rPr>
        <w:t>כח</w:t>
      </w:r>
      <w:proofErr w:type="spellEnd"/>
      <w:r w:rsidR="00A363F7" w:rsidRPr="003E34F8">
        <w:rPr>
          <w:rFonts w:ascii="David" w:hAnsi="David" w:cs="David"/>
          <w:b/>
          <w:bCs/>
          <w:sz w:val="28"/>
          <w:szCs w:val="28"/>
          <w:rtl/>
        </w:rPr>
        <w:t xml:space="preserve"> </w:t>
      </w:r>
    </w:p>
    <w:p w14:paraId="729D615D" w14:textId="63C8AADF" w:rsidR="00A363F7" w:rsidRPr="003E34F8" w:rsidRDefault="00A363F7" w:rsidP="00A363F7">
      <w:pPr>
        <w:autoSpaceDE w:val="0"/>
        <w:autoSpaceDN w:val="0"/>
        <w:adjustRightInd w:val="0"/>
        <w:rPr>
          <w:rFonts w:ascii="David" w:hAnsi="David" w:cs="David"/>
          <w:sz w:val="28"/>
          <w:szCs w:val="28"/>
          <w:rtl/>
        </w:rPr>
      </w:pPr>
      <w:r w:rsidRPr="003E34F8">
        <w:rPr>
          <w:rFonts w:ascii="David" w:hAnsi="David" w:cs="David"/>
          <w:sz w:val="28"/>
          <w:szCs w:val="28"/>
          <w:rtl/>
        </w:rPr>
        <w:t xml:space="preserve">א. </w:t>
      </w:r>
      <w:r w:rsidRPr="003E34F8">
        <w:rPr>
          <w:rFonts w:ascii="David" w:hAnsi="David" w:cs="David"/>
          <w:sz w:val="28"/>
          <w:szCs w:val="28"/>
          <w:rtl/>
        </w:rPr>
        <w:t xml:space="preserve">שני קוים עוברים לפנינו בהדרכת הכלל והפרט, קו </w:t>
      </w:r>
      <w:r w:rsidRPr="003E34F8">
        <w:rPr>
          <w:rFonts w:ascii="David" w:hAnsi="David" w:cs="David"/>
          <w:b/>
          <w:bCs/>
          <w:sz w:val="28"/>
          <w:szCs w:val="28"/>
          <w:rtl/>
        </w:rPr>
        <w:t>המבדיל</w:t>
      </w:r>
      <w:r w:rsidRPr="003E34F8">
        <w:rPr>
          <w:rFonts w:ascii="David" w:hAnsi="David" w:cs="David"/>
          <w:sz w:val="28"/>
          <w:szCs w:val="28"/>
          <w:rtl/>
        </w:rPr>
        <w:t xml:space="preserve">, וקו </w:t>
      </w:r>
      <w:r w:rsidRPr="003E34F8">
        <w:rPr>
          <w:rFonts w:ascii="David" w:hAnsi="David" w:cs="David"/>
          <w:b/>
          <w:bCs/>
          <w:sz w:val="28"/>
          <w:szCs w:val="28"/>
          <w:rtl/>
        </w:rPr>
        <w:t>המחבר</w:t>
      </w:r>
      <w:r w:rsidRPr="003E34F8">
        <w:rPr>
          <w:rFonts w:ascii="David" w:hAnsi="David" w:cs="David"/>
          <w:sz w:val="28"/>
          <w:szCs w:val="28"/>
          <w:rtl/>
        </w:rPr>
        <w:t>.</w:t>
      </w:r>
      <w:r w:rsidRPr="003E34F8">
        <w:rPr>
          <w:rFonts w:ascii="David" w:hAnsi="David" w:cs="David"/>
          <w:sz w:val="28"/>
          <w:szCs w:val="28"/>
          <w:rtl/>
        </w:rPr>
        <w:t>..</w:t>
      </w:r>
    </w:p>
    <w:p w14:paraId="1AAD30F6" w14:textId="201B8D7B" w:rsidR="00A363F7" w:rsidRPr="003E34F8" w:rsidRDefault="00A363F7" w:rsidP="00A363F7">
      <w:pPr>
        <w:autoSpaceDE w:val="0"/>
        <w:autoSpaceDN w:val="0"/>
        <w:adjustRightInd w:val="0"/>
        <w:rPr>
          <w:rFonts w:ascii="David" w:hAnsi="David" w:cs="David"/>
          <w:sz w:val="28"/>
          <w:szCs w:val="28"/>
          <w:rtl/>
        </w:rPr>
      </w:pPr>
      <w:r w:rsidRPr="003E34F8">
        <w:rPr>
          <w:rFonts w:ascii="David" w:hAnsi="David" w:cs="David"/>
          <w:sz w:val="28"/>
          <w:szCs w:val="28"/>
          <w:rtl/>
        </w:rPr>
        <w:t xml:space="preserve">ב. </w:t>
      </w:r>
      <w:r w:rsidRPr="003E34F8">
        <w:rPr>
          <w:rFonts w:ascii="David" w:hAnsi="David" w:cs="David"/>
          <w:sz w:val="28"/>
          <w:szCs w:val="28"/>
          <w:rtl/>
        </w:rPr>
        <w:t xml:space="preserve">אבל בתוך עמקה של הבדלה זו התחברות והכללה גנוזות הן, כלולות הן בכללותה... </w:t>
      </w:r>
    </w:p>
    <w:p w14:paraId="4FF68657" w14:textId="2A34A593" w:rsidR="00A363F7" w:rsidRPr="003E34F8" w:rsidRDefault="00A363F7" w:rsidP="003E34F8">
      <w:pPr>
        <w:autoSpaceDE w:val="0"/>
        <w:autoSpaceDN w:val="0"/>
        <w:adjustRightInd w:val="0"/>
        <w:rPr>
          <w:rFonts w:ascii="David" w:hAnsi="David" w:cs="David"/>
          <w:sz w:val="28"/>
          <w:szCs w:val="28"/>
          <w:rtl/>
        </w:rPr>
      </w:pPr>
      <w:r w:rsidRPr="003E34F8">
        <w:rPr>
          <w:rFonts w:ascii="David" w:hAnsi="David" w:cs="David"/>
          <w:sz w:val="28"/>
          <w:szCs w:val="28"/>
          <w:rtl/>
        </w:rPr>
        <w:t>ג.</w:t>
      </w:r>
      <w:r w:rsidRPr="003E34F8">
        <w:rPr>
          <w:rFonts w:ascii="David" w:hAnsi="David" w:cs="David"/>
          <w:sz w:val="28"/>
          <w:szCs w:val="28"/>
          <w:rtl/>
        </w:rPr>
        <w:t xml:space="preserve"> וזאת היא נחלת ד' בכל דרך הקודש, </w:t>
      </w:r>
      <w:r w:rsidRPr="003E34F8">
        <w:rPr>
          <w:rFonts w:ascii="David" w:hAnsi="David" w:cs="David"/>
          <w:b/>
          <w:bCs/>
          <w:sz w:val="28"/>
          <w:szCs w:val="28"/>
          <w:rtl/>
        </w:rPr>
        <w:t>הפרדה על מנת התחברות</w:t>
      </w:r>
      <w:r w:rsidRPr="003E34F8">
        <w:rPr>
          <w:rFonts w:ascii="David" w:hAnsi="David" w:cs="David"/>
          <w:sz w:val="28"/>
          <w:szCs w:val="28"/>
          <w:rtl/>
        </w:rPr>
        <w:t xml:space="preserve">, להיפך מההכללה הגסה, המדברת גדולות ואומרת לאגד </w:t>
      </w:r>
      <w:proofErr w:type="spellStart"/>
      <w:r w:rsidRPr="003E34F8">
        <w:rPr>
          <w:rFonts w:ascii="David" w:hAnsi="David" w:cs="David"/>
          <w:sz w:val="28"/>
          <w:szCs w:val="28"/>
          <w:rtl/>
        </w:rPr>
        <w:t>הכל</w:t>
      </w:r>
      <w:proofErr w:type="spellEnd"/>
      <w:r w:rsidRPr="003E34F8">
        <w:rPr>
          <w:rFonts w:ascii="David" w:hAnsi="David" w:cs="David"/>
          <w:sz w:val="28"/>
          <w:szCs w:val="28"/>
          <w:rtl/>
        </w:rPr>
        <w:t xml:space="preserve"> בחבילה אחת, ומאבדת את כל הוד רוחני ואצילי. וסוף כל סוף על ידי </w:t>
      </w:r>
      <w:r w:rsidRPr="003E34F8">
        <w:rPr>
          <w:rFonts w:ascii="David" w:hAnsi="David" w:cs="David"/>
          <w:b/>
          <w:bCs/>
          <w:sz w:val="28"/>
          <w:szCs w:val="28"/>
          <w:rtl/>
        </w:rPr>
        <w:t>החשכת</w:t>
      </w:r>
      <w:r w:rsidRPr="003E34F8">
        <w:rPr>
          <w:rFonts w:ascii="David" w:hAnsi="David" w:cs="David"/>
          <w:sz w:val="28"/>
          <w:szCs w:val="28"/>
          <w:rtl/>
        </w:rPr>
        <w:t xml:space="preserve"> החיים נעכר </w:t>
      </w:r>
      <w:r w:rsidRPr="003E34F8">
        <w:rPr>
          <w:rFonts w:ascii="David" w:hAnsi="David" w:cs="David"/>
          <w:b/>
          <w:bCs/>
          <w:sz w:val="28"/>
          <w:szCs w:val="28"/>
          <w:rtl/>
        </w:rPr>
        <w:t>אור</w:t>
      </w:r>
      <w:r w:rsidRPr="003E34F8">
        <w:rPr>
          <w:rFonts w:ascii="David" w:hAnsi="David" w:cs="David"/>
          <w:sz w:val="28"/>
          <w:szCs w:val="28"/>
          <w:rtl/>
        </w:rPr>
        <w:t xml:space="preserve"> הדעת הצלול, והאהבה הגסה </w:t>
      </w:r>
      <w:proofErr w:type="spellStart"/>
      <w:r w:rsidRPr="003E34F8">
        <w:rPr>
          <w:rFonts w:ascii="David" w:hAnsi="David" w:cs="David"/>
          <w:sz w:val="28"/>
          <w:szCs w:val="28"/>
          <w:rtl/>
        </w:rPr>
        <w:t>המיוחדה</w:t>
      </w:r>
      <w:proofErr w:type="spellEnd"/>
      <w:r w:rsidRPr="003E34F8">
        <w:rPr>
          <w:rFonts w:ascii="David" w:hAnsi="David" w:cs="David"/>
          <w:sz w:val="28"/>
          <w:szCs w:val="28"/>
          <w:rtl/>
        </w:rPr>
        <w:t xml:space="preserve"> של כל בריה מתגברת ונעשית מזוהמה, עד </w:t>
      </w:r>
      <w:proofErr w:type="spellStart"/>
      <w:r w:rsidRPr="003E34F8">
        <w:rPr>
          <w:rFonts w:ascii="David" w:hAnsi="David" w:cs="David"/>
          <w:sz w:val="28"/>
          <w:szCs w:val="28"/>
          <w:rtl/>
        </w:rPr>
        <w:t>שהכל</w:t>
      </w:r>
      <w:proofErr w:type="spellEnd"/>
      <w:r w:rsidRPr="003E34F8">
        <w:rPr>
          <w:rFonts w:ascii="David" w:hAnsi="David" w:cs="David"/>
          <w:sz w:val="28"/>
          <w:szCs w:val="28"/>
          <w:rtl/>
        </w:rPr>
        <w:t xml:space="preserve"> מתפרד, והארץ כולה תנוע </w:t>
      </w:r>
      <w:r w:rsidRPr="003E34F8">
        <w:rPr>
          <w:rFonts w:ascii="David" w:hAnsi="David" w:cs="David"/>
          <w:b/>
          <w:bCs/>
          <w:sz w:val="28"/>
          <w:szCs w:val="28"/>
          <w:rtl/>
        </w:rPr>
        <w:t>כשיכור</w:t>
      </w:r>
      <w:r w:rsidRPr="003E34F8">
        <w:rPr>
          <w:rFonts w:ascii="David" w:hAnsi="David" w:cs="David"/>
          <w:sz w:val="28"/>
          <w:szCs w:val="28"/>
          <w:rtl/>
        </w:rPr>
        <w:t xml:space="preserve"> מכובד פשעה. </w:t>
      </w:r>
      <w:r w:rsidRPr="003E34F8">
        <w:rPr>
          <w:rFonts w:ascii="David" w:hAnsi="David" w:cs="David"/>
          <w:b/>
          <w:bCs/>
          <w:sz w:val="28"/>
          <w:szCs w:val="28"/>
          <w:rtl/>
        </w:rPr>
        <w:t xml:space="preserve">סטרא אחרא שרי </w:t>
      </w:r>
      <w:proofErr w:type="spellStart"/>
      <w:r w:rsidRPr="003E34F8">
        <w:rPr>
          <w:rFonts w:ascii="David" w:hAnsi="David" w:cs="David"/>
          <w:b/>
          <w:bCs/>
          <w:sz w:val="28"/>
          <w:szCs w:val="28"/>
          <w:rtl/>
        </w:rPr>
        <w:t>בחיבורא</w:t>
      </w:r>
      <w:proofErr w:type="spellEnd"/>
      <w:r w:rsidRPr="003E34F8">
        <w:rPr>
          <w:rFonts w:ascii="David" w:hAnsi="David" w:cs="David"/>
          <w:b/>
          <w:bCs/>
          <w:sz w:val="28"/>
          <w:szCs w:val="28"/>
          <w:rtl/>
        </w:rPr>
        <w:t xml:space="preserve"> וסיים </w:t>
      </w:r>
      <w:proofErr w:type="spellStart"/>
      <w:r w:rsidRPr="003E34F8">
        <w:rPr>
          <w:rFonts w:ascii="David" w:hAnsi="David" w:cs="David"/>
          <w:b/>
          <w:bCs/>
          <w:sz w:val="28"/>
          <w:szCs w:val="28"/>
          <w:rtl/>
        </w:rPr>
        <w:t>בפירודא</w:t>
      </w:r>
      <w:proofErr w:type="spellEnd"/>
      <w:r w:rsidRPr="003E34F8">
        <w:rPr>
          <w:rFonts w:ascii="David" w:hAnsi="David" w:cs="David"/>
          <w:sz w:val="28"/>
          <w:szCs w:val="28"/>
          <w:rtl/>
        </w:rPr>
        <w:t xml:space="preserve">, </w:t>
      </w:r>
      <w:proofErr w:type="spellStart"/>
      <w:r w:rsidRPr="003E34F8">
        <w:rPr>
          <w:rFonts w:ascii="David" w:hAnsi="David" w:cs="David"/>
          <w:b/>
          <w:bCs/>
          <w:sz w:val="28"/>
          <w:szCs w:val="28"/>
          <w:rtl/>
        </w:rPr>
        <w:t>וסטרא</w:t>
      </w:r>
      <w:proofErr w:type="spellEnd"/>
      <w:r w:rsidRPr="003E34F8">
        <w:rPr>
          <w:rFonts w:ascii="David" w:hAnsi="David" w:cs="David"/>
          <w:b/>
          <w:bCs/>
          <w:sz w:val="28"/>
          <w:szCs w:val="28"/>
          <w:rtl/>
        </w:rPr>
        <w:t xml:space="preserve"> </w:t>
      </w:r>
      <w:proofErr w:type="spellStart"/>
      <w:r w:rsidRPr="003E34F8">
        <w:rPr>
          <w:rFonts w:ascii="David" w:hAnsi="David" w:cs="David"/>
          <w:b/>
          <w:bCs/>
          <w:sz w:val="28"/>
          <w:szCs w:val="28"/>
          <w:rtl/>
        </w:rPr>
        <w:t>דקדושה</w:t>
      </w:r>
      <w:proofErr w:type="spellEnd"/>
      <w:r w:rsidRPr="003E34F8">
        <w:rPr>
          <w:rFonts w:ascii="David" w:hAnsi="David" w:cs="David"/>
          <w:b/>
          <w:bCs/>
          <w:sz w:val="28"/>
          <w:szCs w:val="28"/>
          <w:rtl/>
        </w:rPr>
        <w:t xml:space="preserve"> שרי </w:t>
      </w:r>
      <w:proofErr w:type="spellStart"/>
      <w:r w:rsidRPr="003E34F8">
        <w:rPr>
          <w:rFonts w:ascii="David" w:hAnsi="David" w:cs="David"/>
          <w:b/>
          <w:bCs/>
          <w:sz w:val="28"/>
          <w:szCs w:val="28"/>
          <w:rtl/>
        </w:rPr>
        <w:t>בפירודא</w:t>
      </w:r>
      <w:proofErr w:type="spellEnd"/>
      <w:r w:rsidRPr="003E34F8">
        <w:rPr>
          <w:rFonts w:ascii="David" w:hAnsi="David" w:cs="David"/>
          <w:b/>
          <w:bCs/>
          <w:sz w:val="28"/>
          <w:szCs w:val="28"/>
          <w:rtl/>
        </w:rPr>
        <w:t xml:space="preserve"> וסיים, </w:t>
      </w:r>
      <w:proofErr w:type="spellStart"/>
      <w:r w:rsidRPr="003E34F8">
        <w:rPr>
          <w:rFonts w:ascii="David" w:hAnsi="David" w:cs="David"/>
          <w:b/>
          <w:bCs/>
          <w:sz w:val="28"/>
          <w:szCs w:val="28"/>
          <w:rtl/>
        </w:rPr>
        <w:t>בחיבורא</w:t>
      </w:r>
      <w:proofErr w:type="spellEnd"/>
      <w:r w:rsidRPr="003E34F8">
        <w:rPr>
          <w:rFonts w:ascii="David" w:hAnsi="David" w:cs="David"/>
          <w:b/>
          <w:bCs/>
          <w:sz w:val="28"/>
          <w:szCs w:val="28"/>
          <w:rtl/>
        </w:rPr>
        <w:t xml:space="preserve">, ושם גופיה </w:t>
      </w:r>
      <w:proofErr w:type="spellStart"/>
      <w:r w:rsidRPr="003E34F8">
        <w:rPr>
          <w:rFonts w:ascii="David" w:hAnsi="David" w:cs="David"/>
          <w:b/>
          <w:bCs/>
          <w:sz w:val="28"/>
          <w:szCs w:val="28"/>
          <w:rtl/>
        </w:rPr>
        <w:t>איקרי</w:t>
      </w:r>
      <w:proofErr w:type="spellEnd"/>
      <w:r w:rsidRPr="003E34F8">
        <w:rPr>
          <w:rFonts w:ascii="David" w:hAnsi="David" w:cs="David"/>
          <w:b/>
          <w:bCs/>
          <w:sz w:val="28"/>
          <w:szCs w:val="28"/>
          <w:rtl/>
        </w:rPr>
        <w:t xml:space="preserve"> שלום</w:t>
      </w:r>
      <w:r w:rsidRPr="003E34F8">
        <w:rPr>
          <w:rFonts w:ascii="David" w:hAnsi="David" w:cs="David"/>
          <w:sz w:val="28"/>
          <w:szCs w:val="28"/>
          <w:rtl/>
        </w:rPr>
        <w:t xml:space="preserve">. </w:t>
      </w:r>
    </w:p>
    <w:sectPr w:rsidR="00A363F7" w:rsidRPr="003E34F8" w:rsidSect="005D71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A1"/>
    <w:rsid w:val="003E34F8"/>
    <w:rsid w:val="005D7187"/>
    <w:rsid w:val="008614E8"/>
    <w:rsid w:val="00A363F7"/>
    <w:rsid w:val="00AB54A1"/>
    <w:rsid w:val="00B41F2B"/>
    <w:rsid w:val="00DF24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FBEA"/>
  <w15:chartTrackingRefBased/>
  <w15:docId w15:val="{3A12DD46-03B1-4199-934B-C1DD9A40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AB54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AB54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AB54A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AB54A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AB54A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AB54A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AB54A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AB54A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AB54A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B54A1"/>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AB54A1"/>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AB54A1"/>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AB54A1"/>
    <w:rPr>
      <w:rFonts w:eastAsiaTheme="majorEastAsia" w:cstheme="majorBidi"/>
      <w:i/>
      <w:iCs/>
      <w:color w:val="0F4761" w:themeColor="accent1" w:themeShade="BF"/>
    </w:rPr>
  </w:style>
  <w:style w:type="character" w:customStyle="1" w:styleId="50">
    <w:name w:val="כותרת 5 תו"/>
    <w:basedOn w:val="a0"/>
    <w:link w:val="5"/>
    <w:uiPriority w:val="9"/>
    <w:semiHidden/>
    <w:rsid w:val="00AB54A1"/>
    <w:rPr>
      <w:rFonts w:eastAsiaTheme="majorEastAsia" w:cstheme="majorBidi"/>
      <w:color w:val="0F4761" w:themeColor="accent1" w:themeShade="BF"/>
    </w:rPr>
  </w:style>
  <w:style w:type="character" w:customStyle="1" w:styleId="60">
    <w:name w:val="כותרת 6 תו"/>
    <w:basedOn w:val="a0"/>
    <w:link w:val="6"/>
    <w:uiPriority w:val="9"/>
    <w:semiHidden/>
    <w:rsid w:val="00AB54A1"/>
    <w:rPr>
      <w:rFonts w:eastAsiaTheme="majorEastAsia" w:cstheme="majorBidi"/>
      <w:i/>
      <w:iCs/>
      <w:color w:val="595959" w:themeColor="text1" w:themeTint="A6"/>
    </w:rPr>
  </w:style>
  <w:style w:type="character" w:customStyle="1" w:styleId="70">
    <w:name w:val="כותרת 7 תו"/>
    <w:basedOn w:val="a0"/>
    <w:link w:val="7"/>
    <w:uiPriority w:val="9"/>
    <w:semiHidden/>
    <w:rsid w:val="00AB54A1"/>
    <w:rPr>
      <w:rFonts w:eastAsiaTheme="majorEastAsia" w:cstheme="majorBidi"/>
      <w:color w:val="595959" w:themeColor="text1" w:themeTint="A6"/>
    </w:rPr>
  </w:style>
  <w:style w:type="character" w:customStyle="1" w:styleId="80">
    <w:name w:val="כותרת 8 תו"/>
    <w:basedOn w:val="a0"/>
    <w:link w:val="8"/>
    <w:uiPriority w:val="9"/>
    <w:semiHidden/>
    <w:rsid w:val="00AB54A1"/>
    <w:rPr>
      <w:rFonts w:eastAsiaTheme="majorEastAsia" w:cstheme="majorBidi"/>
      <w:i/>
      <w:iCs/>
      <w:color w:val="272727" w:themeColor="text1" w:themeTint="D8"/>
    </w:rPr>
  </w:style>
  <w:style w:type="character" w:customStyle="1" w:styleId="90">
    <w:name w:val="כותרת 9 תו"/>
    <w:basedOn w:val="a0"/>
    <w:link w:val="9"/>
    <w:uiPriority w:val="9"/>
    <w:semiHidden/>
    <w:rsid w:val="00AB54A1"/>
    <w:rPr>
      <w:rFonts w:eastAsiaTheme="majorEastAsia" w:cstheme="majorBidi"/>
      <w:color w:val="272727" w:themeColor="text1" w:themeTint="D8"/>
    </w:rPr>
  </w:style>
  <w:style w:type="paragraph" w:styleId="a3">
    <w:name w:val="Title"/>
    <w:basedOn w:val="a"/>
    <w:next w:val="a"/>
    <w:link w:val="a4"/>
    <w:uiPriority w:val="10"/>
    <w:qFormat/>
    <w:rsid w:val="00AB54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AB54A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B54A1"/>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AB54A1"/>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AB54A1"/>
    <w:pPr>
      <w:spacing w:before="160"/>
      <w:jc w:val="center"/>
    </w:pPr>
    <w:rPr>
      <w:i/>
      <w:iCs/>
      <w:color w:val="404040" w:themeColor="text1" w:themeTint="BF"/>
    </w:rPr>
  </w:style>
  <w:style w:type="character" w:customStyle="1" w:styleId="a8">
    <w:name w:val="ציטוט תו"/>
    <w:basedOn w:val="a0"/>
    <w:link w:val="a7"/>
    <w:uiPriority w:val="29"/>
    <w:rsid w:val="00AB54A1"/>
    <w:rPr>
      <w:i/>
      <w:iCs/>
      <w:color w:val="404040" w:themeColor="text1" w:themeTint="BF"/>
    </w:rPr>
  </w:style>
  <w:style w:type="paragraph" w:styleId="a9">
    <w:name w:val="List Paragraph"/>
    <w:basedOn w:val="a"/>
    <w:uiPriority w:val="34"/>
    <w:qFormat/>
    <w:rsid w:val="00AB54A1"/>
    <w:pPr>
      <w:ind w:left="720"/>
      <w:contextualSpacing/>
    </w:pPr>
  </w:style>
  <w:style w:type="character" w:styleId="aa">
    <w:name w:val="Intense Emphasis"/>
    <w:basedOn w:val="a0"/>
    <w:uiPriority w:val="21"/>
    <w:qFormat/>
    <w:rsid w:val="00AB54A1"/>
    <w:rPr>
      <w:i/>
      <w:iCs/>
      <w:color w:val="0F4761" w:themeColor="accent1" w:themeShade="BF"/>
    </w:rPr>
  </w:style>
  <w:style w:type="paragraph" w:styleId="ab">
    <w:name w:val="Intense Quote"/>
    <w:basedOn w:val="a"/>
    <w:next w:val="a"/>
    <w:link w:val="ac"/>
    <w:uiPriority w:val="30"/>
    <w:qFormat/>
    <w:rsid w:val="00AB54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AB54A1"/>
    <w:rPr>
      <w:i/>
      <w:iCs/>
      <w:color w:val="0F4761" w:themeColor="accent1" w:themeShade="BF"/>
    </w:rPr>
  </w:style>
  <w:style w:type="character" w:styleId="ad">
    <w:name w:val="Intense Reference"/>
    <w:basedOn w:val="a0"/>
    <w:uiPriority w:val="32"/>
    <w:qFormat/>
    <w:rsid w:val="00AB54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362</Words>
  <Characters>1813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3</cp:revision>
  <dcterms:created xsi:type="dcterms:W3CDTF">2024-03-10T10:05:00Z</dcterms:created>
  <dcterms:modified xsi:type="dcterms:W3CDTF">2024-03-10T10:39:00Z</dcterms:modified>
</cp:coreProperties>
</file>