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discussing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psychology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monetary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conduct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view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people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justify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unlawful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incorrect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conduct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assist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own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cleverness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miscreants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obeying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law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perhaps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ordinary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folks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help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honest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'].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לדיבוריה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לדיבוריה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ולדבריכם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b w:val="1"/>
          <w:rtl w:val="1"/>
        </w:rPr>
        <w:t xml:space="preserve">ונימא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ישבע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אשתמוטי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משתמיט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בפיקדון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משכחנא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ותפיסנא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משכחנא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ומייתינא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דבחשנא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ואסהידו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תחמד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b w:val="1"/>
          <w:rtl w:val="1"/>
        </w:rPr>
        <w:t xml:space="preserve">ואלא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נחמן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משביעין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היסת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חיישינן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אידי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פרשי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ממונא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בחזרה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שבועה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ליתיה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בחזרה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דחמיר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תחמוד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תגזול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jc w:val="center"/>
        <w:rPr/>
      </w:pPr>
      <w:r w:rsidDel="00000000" w:rsidR="00000000" w:rsidRPr="00000000">
        <w:rPr>
          <w:b w:val="1"/>
          <w:u w:val="single"/>
          <w:rtl w:val="1"/>
        </w:rPr>
        <w:t xml:space="preserve">פסול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VS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השבועה</w:t>
      </w:r>
      <w:r w:rsidDel="00000000" w:rsidR="00000000" w:rsidRPr="00000000">
        <w:rPr>
          <w:b w:val="1"/>
          <w:rtl w:val="1"/>
        </w:rPr>
        <w:t xml:space="preserve"> {</w:t>
      </w:r>
      <w:r w:rsidDel="00000000" w:rsidR="00000000" w:rsidRPr="00000000">
        <w:rPr>
          <w:b w:val="1"/>
          <w:rtl w:val="1"/>
        </w:rPr>
        <w:t xml:space="preserve">ופסול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לשבועה</w:t>
      </w:r>
      <w:r w:rsidDel="00000000" w:rsidR="00000000" w:rsidRPr="00000000">
        <w:rPr>
          <w:b w:val="1"/>
          <w:rtl w:val="1"/>
        </w:rPr>
        <w:t xml:space="preserve">}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בקוביא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ומפריחי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וסוחרי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הפסולין</w:t>
      </w:r>
      <w:r w:rsidDel="00000000" w:rsidR="00000000" w:rsidRPr="00000000">
        <w:rPr>
          <w:b w:val="1"/>
          <w:rtl w:val="1"/>
        </w:rPr>
        <w:t xml:space="preserve"> {</w:t>
      </w:r>
      <w:r w:rsidDel="00000000" w:rsidR="00000000" w:rsidRPr="00000000">
        <w:rPr>
          <w:b w:val="1"/>
          <w:rtl w:val="1"/>
        </w:rPr>
        <w:t xml:space="preserve">לעדות</w:t>
      </w:r>
      <w:r w:rsidDel="00000000" w:rsidR="00000000" w:rsidRPr="00000000">
        <w:rPr>
          <w:b w:val="1"/>
          <w:rtl w:val="1"/>
        </w:rPr>
        <w:t xml:space="preserve">}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המשחק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בקוביא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ומפריחי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וסוחרי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after="200" w:lineRule="auto"/>
        <w:ind w:left="360" w:right="72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Exact same list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Tosfot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together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therefore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know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ובשבועות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שהעולם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נזדעזע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דגזלן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יהודה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חסיד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אממונא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יפרוש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מגזל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גזלן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שמממון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פורש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משבועה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דאסהידו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וקשה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בפ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:)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אמרינן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אממונא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אשבועתא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אשבועתא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מקילין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בממון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ותקנו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החשודים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שפסול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תקנו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]...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ותירץ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חסיד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וי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דגזלן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התורה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אשבועתא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דמדרבנן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פסלוהו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דבשבועת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עונש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גדול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ינקה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וכדאמר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בשבועת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הדיינין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שבועות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לט</w:t>
      </w:r>
      <w:r w:rsidDel="00000000" w:rsidR="00000000" w:rsidRPr="00000000">
        <w:rPr>
          <w:u w:val="single"/>
          <w:rtl w:val="1"/>
        </w:rPr>
        <w:t xml:space="preserve">.) </w:t>
      </w:r>
      <w:r w:rsidDel="00000000" w:rsidR="00000000" w:rsidRPr="00000000">
        <w:rPr>
          <w:u w:val="single"/>
          <w:rtl w:val="1"/>
        </w:rPr>
        <w:t xml:space="preserve">שכל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נזדעזע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תשבעו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תענה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ובשבועת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תגזול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תשבעו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לשקר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Compare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formulation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והחמסנים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טוען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ונטען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וגזלנין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משביעין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