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C8A22" w14:textId="77777777" w:rsidR="003B5B74" w:rsidRDefault="003B5B74">
      <w:pPr>
        <w:rPr>
          <w:rtl/>
        </w:rPr>
      </w:pPr>
      <w:r>
        <w:rPr>
          <w:rFonts w:hint="cs"/>
          <w:rtl/>
        </w:rPr>
        <w:t xml:space="preserve">בענין התיזה צרורות ברשות הרבים והלכו והזיקו ברשות היחיד </w:t>
      </w:r>
    </w:p>
    <w:p w14:paraId="6FAC359B" w14:textId="77777777" w:rsidR="00321D6A" w:rsidRDefault="00F50C0B" w:rsidP="003B5B74">
      <w:pPr>
        <w:pStyle w:val="ListParagraph"/>
        <w:numPr>
          <w:ilvl w:val="0"/>
          <w:numId w:val="1"/>
        </w:numPr>
        <w:rPr>
          <w:rtl/>
        </w:rPr>
      </w:pPr>
      <w:r>
        <w:rPr>
          <w:rFonts w:hint="cs"/>
          <w:rtl/>
        </w:rPr>
        <w:t xml:space="preserve">גמ' ( יט.) התיזה ....מבעיא ליה </w:t>
      </w:r>
    </w:p>
    <w:p w14:paraId="3C9173CB" w14:textId="77777777" w:rsidR="003B5B74" w:rsidRDefault="003B5B74" w:rsidP="003B5B74">
      <w:pPr>
        <w:pStyle w:val="ListParagraph"/>
        <w:numPr>
          <w:ilvl w:val="0"/>
          <w:numId w:val="1"/>
        </w:numPr>
      </w:pPr>
      <w:r>
        <w:rPr>
          <w:rFonts w:hint="cs"/>
          <w:rtl/>
        </w:rPr>
        <w:t xml:space="preserve">גדר פטור רשות הרבים </w:t>
      </w:r>
    </w:p>
    <w:p w14:paraId="33140F95" w14:textId="77777777" w:rsidR="003B5B74" w:rsidRDefault="003B5B74" w:rsidP="003B5B74">
      <w:pPr>
        <w:pStyle w:val="ListParagraph"/>
      </w:pPr>
    </w:p>
    <w:p w14:paraId="23A6A2FE" w14:textId="77777777" w:rsidR="00F50C0B" w:rsidRDefault="00F50C0B" w:rsidP="003B5B74">
      <w:pPr>
        <w:pStyle w:val="ListParagraph"/>
        <w:numPr>
          <w:ilvl w:val="0"/>
          <w:numId w:val="2"/>
        </w:numPr>
        <w:rPr>
          <w:rtl/>
        </w:rPr>
      </w:pPr>
      <w:r>
        <w:rPr>
          <w:rFonts w:hint="cs"/>
          <w:rtl/>
        </w:rPr>
        <w:t xml:space="preserve">רי"ף (א: ) ושן ורגל ..דאורחייהו הוא </w:t>
      </w:r>
    </w:p>
    <w:p w14:paraId="4AC7B846" w14:textId="77777777" w:rsidR="00F50C0B" w:rsidRDefault="00F50C0B" w:rsidP="003B5B74">
      <w:pPr>
        <w:pStyle w:val="ListParagraph"/>
        <w:numPr>
          <w:ilvl w:val="0"/>
          <w:numId w:val="2"/>
        </w:numPr>
        <w:rPr>
          <w:rtl/>
        </w:rPr>
      </w:pPr>
      <w:r>
        <w:rPr>
          <w:rFonts w:hint="cs"/>
          <w:rtl/>
        </w:rPr>
        <w:t xml:space="preserve">רא"ש  פרק א' סימן א' ושן ורגל ...שברשות </w:t>
      </w:r>
    </w:p>
    <w:p w14:paraId="6AF532A3" w14:textId="77777777" w:rsidR="00F4678C" w:rsidRDefault="00F4678C" w:rsidP="003B5B74">
      <w:pPr>
        <w:pStyle w:val="ListParagraph"/>
        <w:numPr>
          <w:ilvl w:val="0"/>
          <w:numId w:val="2"/>
        </w:numPr>
        <w:rPr>
          <w:rtl/>
        </w:rPr>
      </w:pPr>
      <w:r>
        <w:rPr>
          <w:rFonts w:hint="cs"/>
          <w:rtl/>
        </w:rPr>
        <w:t xml:space="preserve">עצם הדין של הרי"ף </w:t>
      </w:r>
    </w:p>
    <w:p w14:paraId="5BA495EB" w14:textId="77777777" w:rsidR="009443D9" w:rsidRDefault="00F4678C" w:rsidP="003B5B74">
      <w:pPr>
        <w:ind w:left="720"/>
        <w:rPr>
          <w:rtl/>
        </w:rPr>
      </w:pPr>
      <w:r>
        <w:rPr>
          <w:rFonts w:hint="cs"/>
          <w:rtl/>
        </w:rPr>
        <w:t xml:space="preserve">עיין בגמ' בהמשך ( יט: ) בדין "וכי יאחזנה" </w:t>
      </w:r>
    </w:p>
    <w:p w14:paraId="54183834" w14:textId="77777777" w:rsidR="009443D9" w:rsidRDefault="009443D9" w:rsidP="003B5B74">
      <w:pPr>
        <w:ind w:left="720"/>
        <w:rPr>
          <w:rtl/>
        </w:rPr>
      </w:pPr>
      <w:r>
        <w:rPr>
          <w:rFonts w:hint="cs"/>
          <w:rtl/>
        </w:rPr>
        <w:t xml:space="preserve">עיין רשב"א ד"ה וכי יאחזנה </w:t>
      </w:r>
    </w:p>
    <w:p w14:paraId="403108F1" w14:textId="77777777" w:rsidR="009443D9" w:rsidRDefault="009443D9" w:rsidP="003B5B74">
      <w:pPr>
        <w:ind w:left="720"/>
        <w:rPr>
          <w:rtl/>
        </w:rPr>
      </w:pPr>
      <w:r>
        <w:rPr>
          <w:rFonts w:hint="cs"/>
          <w:rtl/>
        </w:rPr>
        <w:t xml:space="preserve">עיין ראב"ד ד"ה וכי </w:t>
      </w:r>
    </w:p>
    <w:p w14:paraId="3430EE87" w14:textId="77777777" w:rsidR="009443D9" w:rsidRDefault="009443D9" w:rsidP="003B5B74">
      <w:pPr>
        <w:ind w:left="720"/>
        <w:rPr>
          <w:rtl/>
        </w:rPr>
      </w:pPr>
      <w:r>
        <w:rPr>
          <w:rFonts w:hint="cs"/>
          <w:rtl/>
        </w:rPr>
        <w:t xml:space="preserve">מה המחלוקת בין הראב"ד לבין הרשב"א בהבנת שאילת הגמ' "וכי יאחזנה " </w:t>
      </w:r>
    </w:p>
    <w:p w14:paraId="543B76E0" w14:textId="77777777" w:rsidR="00B77E7D" w:rsidRDefault="009443D9" w:rsidP="009443D9">
      <w:pPr>
        <w:ind w:left="720"/>
        <w:rPr>
          <w:rtl/>
        </w:rPr>
      </w:pPr>
      <w:r>
        <w:rPr>
          <w:rFonts w:hint="cs"/>
          <w:rtl/>
        </w:rPr>
        <w:t xml:space="preserve">לפי איזה הבנה יש ראיה לדברי הרי"ף </w:t>
      </w:r>
    </w:p>
    <w:p w14:paraId="084C544F" w14:textId="77777777" w:rsidR="009443D9" w:rsidRDefault="009443D9" w:rsidP="003B5B74">
      <w:pPr>
        <w:ind w:left="720"/>
        <w:rPr>
          <w:rtl/>
        </w:rPr>
      </w:pPr>
    </w:p>
    <w:p w14:paraId="734B0182" w14:textId="77777777" w:rsidR="009443D9" w:rsidRDefault="00A95D8F" w:rsidP="009443D9">
      <w:pPr>
        <w:pStyle w:val="ListParagraph"/>
        <w:numPr>
          <w:ilvl w:val="0"/>
          <w:numId w:val="1"/>
        </w:numPr>
        <w:rPr>
          <w:rtl/>
        </w:rPr>
      </w:pPr>
      <w:r>
        <w:rPr>
          <w:rFonts w:hint="cs"/>
          <w:rtl/>
        </w:rPr>
        <w:t>1</w:t>
      </w:r>
      <w:r w:rsidR="009443D9">
        <w:rPr>
          <w:rFonts w:hint="cs"/>
          <w:rtl/>
        </w:rPr>
        <w:t xml:space="preserve">האם יש חיוב ביד"ש בשן ורגל ברשות הרבים </w:t>
      </w:r>
    </w:p>
    <w:p w14:paraId="1F85DBE1" w14:textId="77777777" w:rsidR="00B77E7D" w:rsidRDefault="00B77E7D" w:rsidP="003B5B74">
      <w:pPr>
        <w:ind w:left="720"/>
        <w:rPr>
          <w:rtl/>
        </w:rPr>
      </w:pPr>
      <w:r>
        <w:rPr>
          <w:rFonts w:hint="cs"/>
          <w:rtl/>
        </w:rPr>
        <w:t xml:space="preserve">עיין ברכת שמואל סימן ב' </w:t>
      </w:r>
    </w:p>
    <w:p w14:paraId="6D50FFC2" w14:textId="77777777" w:rsidR="00B77E7D" w:rsidRDefault="00B77E7D" w:rsidP="003B5B74">
      <w:pPr>
        <w:ind w:left="720"/>
        <w:rPr>
          <w:rtl/>
        </w:rPr>
      </w:pPr>
      <w:r>
        <w:rPr>
          <w:noProof/>
        </w:rPr>
        <w:lastRenderedPageBreak/>
        <w:drawing>
          <wp:inline distT="0" distB="0" distL="0" distR="0" wp14:anchorId="487DEEB0" wp14:editId="223ABBFE">
            <wp:extent cx="5274310" cy="469455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9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09815" w14:textId="77777777" w:rsidR="00F4678C" w:rsidRDefault="00F4678C" w:rsidP="003B5B74">
      <w:pPr>
        <w:pStyle w:val="ListParagraph"/>
        <w:numPr>
          <w:ilvl w:val="0"/>
          <w:numId w:val="1"/>
        </w:numPr>
        <w:rPr>
          <w:rtl/>
        </w:rPr>
      </w:pPr>
      <w:r>
        <w:rPr>
          <w:rFonts w:hint="cs"/>
          <w:rtl/>
        </w:rPr>
        <w:t xml:space="preserve">הקשר בין דברי הרי"ף בעץ ארוך לבין הסוגיא של התיזה צרורות ברשות הרבים והלך והזיק ברשות היחיד </w:t>
      </w:r>
    </w:p>
    <w:p w14:paraId="158738F8" w14:textId="77777777" w:rsidR="00F50C0B" w:rsidRDefault="00F50C0B" w:rsidP="003B5B74">
      <w:pPr>
        <w:pStyle w:val="ListParagraph"/>
        <w:numPr>
          <w:ilvl w:val="0"/>
          <w:numId w:val="2"/>
        </w:numPr>
        <w:rPr>
          <w:rtl/>
        </w:rPr>
      </w:pPr>
      <w:r>
        <w:rPr>
          <w:rFonts w:hint="cs"/>
          <w:rtl/>
        </w:rPr>
        <w:t xml:space="preserve">תלמידי הרשב"א והרא"ש ד"ה </w:t>
      </w:r>
    </w:p>
    <w:p w14:paraId="7FA145AD" w14:textId="77777777" w:rsidR="00F50C0B" w:rsidRDefault="00F50C0B" w:rsidP="00F50C0B">
      <w:pPr>
        <w:rPr>
          <w:rtl/>
        </w:rPr>
      </w:pPr>
      <w:r>
        <w:rPr>
          <w:rFonts w:hint="cs"/>
          <w:rtl/>
        </w:rPr>
        <w:t xml:space="preserve">מה החידוש של התלמידי הרשב"א </w:t>
      </w:r>
    </w:p>
    <w:p w14:paraId="68FAF7E7" w14:textId="77777777" w:rsidR="00F50C0B" w:rsidRDefault="00F50C0B" w:rsidP="00F50C0B">
      <w:pPr>
        <w:rPr>
          <w:rtl/>
        </w:rPr>
      </w:pPr>
    </w:p>
    <w:p w14:paraId="7F055512" w14:textId="77777777" w:rsidR="00F50C0B" w:rsidRDefault="00F50C0B" w:rsidP="003B5B74">
      <w:pPr>
        <w:pStyle w:val="ListParagraph"/>
        <w:numPr>
          <w:ilvl w:val="0"/>
          <w:numId w:val="2"/>
        </w:numPr>
        <w:rPr>
          <w:rtl/>
        </w:rPr>
      </w:pPr>
      <w:r>
        <w:rPr>
          <w:rFonts w:hint="cs"/>
          <w:rtl/>
        </w:rPr>
        <w:t xml:space="preserve">יש"ש א:ד </w:t>
      </w:r>
      <w:r>
        <w:rPr>
          <w:rtl/>
        </w:rPr>
        <w:t>–</w:t>
      </w:r>
      <w:r>
        <w:rPr>
          <w:rFonts w:hint="cs"/>
          <w:rtl/>
        </w:rPr>
        <w:t xml:space="preserve"> מה החילוק של היש"ש בין "עץ ארוך"  לבין התיזה צרורות  והזיק ברשות היחיד דחייב </w:t>
      </w:r>
    </w:p>
    <w:p w14:paraId="0A9D92EC" w14:textId="12B2106C" w:rsidR="00A47072" w:rsidRDefault="00DD4918" w:rsidP="00F50C0B">
      <w:pPr>
        <w:rPr>
          <w:rtl/>
        </w:rPr>
      </w:pPr>
      <w:r w:rsidRPr="00DD4918">
        <w:rPr>
          <w:rtl/>
        </w:rPr>
        <w:drawing>
          <wp:inline distT="0" distB="0" distL="0" distR="0" wp14:anchorId="542CC97D" wp14:editId="75792F75">
            <wp:extent cx="5274310" cy="768985"/>
            <wp:effectExtent l="0" t="0" r="2540" b="0"/>
            <wp:docPr id="3630765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07651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A131E" w14:textId="7B4AD73D" w:rsidR="00F4678C" w:rsidRDefault="00DD4918" w:rsidP="00F50C0B">
      <w:pPr>
        <w:rPr>
          <w:rtl/>
        </w:rPr>
      </w:pPr>
      <w:r w:rsidRPr="00DD4918">
        <w:rPr>
          <w:rtl/>
        </w:rPr>
        <w:drawing>
          <wp:inline distT="0" distB="0" distL="0" distR="0" wp14:anchorId="01302D02" wp14:editId="04BA33E4">
            <wp:extent cx="5274310" cy="1084580"/>
            <wp:effectExtent l="0" t="0" r="2540" b="1270"/>
            <wp:docPr id="1819334078" name="Picture 1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334078" name="Picture 1" descr="A close up of a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21E43" w14:textId="78D6763E" w:rsidR="00DD4918" w:rsidRDefault="00DD4918" w:rsidP="00F50C0B">
      <w:pPr>
        <w:rPr>
          <w:rFonts w:hint="cs"/>
          <w:rtl/>
        </w:rPr>
      </w:pPr>
      <w:r w:rsidRPr="00DD4918">
        <w:rPr>
          <w:rtl/>
        </w:rPr>
        <w:drawing>
          <wp:inline distT="0" distB="0" distL="0" distR="0" wp14:anchorId="56831792" wp14:editId="74FB3B93">
            <wp:extent cx="5274310" cy="1069975"/>
            <wp:effectExtent l="0" t="0" r="2540" b="0"/>
            <wp:docPr id="440522344" name="Picture 1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522344" name="Picture 1" descr="A close up of a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C4642" w14:textId="77777777" w:rsidR="00A47072" w:rsidRDefault="00A47072" w:rsidP="00F50C0B">
      <w:pPr>
        <w:rPr>
          <w:rtl/>
        </w:rPr>
      </w:pPr>
    </w:p>
    <w:p w14:paraId="30001C15" w14:textId="77777777" w:rsidR="00F4678C" w:rsidRDefault="00F4678C" w:rsidP="003B5B74">
      <w:pPr>
        <w:pStyle w:val="ListParagraph"/>
        <w:numPr>
          <w:ilvl w:val="0"/>
          <w:numId w:val="2"/>
        </w:numPr>
        <w:rPr>
          <w:rtl/>
        </w:rPr>
      </w:pPr>
      <w:r>
        <w:rPr>
          <w:rFonts w:hint="cs"/>
          <w:rtl/>
        </w:rPr>
        <w:t xml:space="preserve">עיין בחידושי רבינו מאיר שמחה </w:t>
      </w:r>
      <w:r>
        <w:rPr>
          <w:rtl/>
        </w:rPr>
        <w:t>–</w:t>
      </w:r>
      <w:r>
        <w:rPr>
          <w:rFonts w:hint="cs"/>
          <w:rtl/>
        </w:rPr>
        <w:t xml:space="preserve"> מה החילוק לדבריו בין עץ ארוך לבין התיזה צרורות </w:t>
      </w:r>
    </w:p>
    <w:p w14:paraId="0F421DC2" w14:textId="77777777" w:rsidR="00C84466" w:rsidRDefault="00C84466" w:rsidP="00F50C0B">
      <w:pPr>
        <w:rPr>
          <w:rtl/>
        </w:rPr>
      </w:pPr>
      <w:r>
        <w:rPr>
          <w:noProof/>
        </w:rPr>
        <w:drawing>
          <wp:inline distT="0" distB="0" distL="0" distR="0" wp14:anchorId="40256DFC" wp14:editId="76F93BED">
            <wp:extent cx="5274310" cy="39878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C63EE" w14:textId="77777777" w:rsidR="00F4678C" w:rsidRDefault="00F4678C" w:rsidP="00F50C0B">
      <w:pPr>
        <w:rPr>
          <w:rtl/>
        </w:rPr>
      </w:pPr>
    </w:p>
    <w:p w14:paraId="1D12941B" w14:textId="77777777" w:rsidR="00F4678C" w:rsidRDefault="00F4678C" w:rsidP="003B5B74">
      <w:pPr>
        <w:pStyle w:val="ListParagraph"/>
        <w:numPr>
          <w:ilvl w:val="0"/>
          <w:numId w:val="1"/>
        </w:numPr>
        <w:rPr>
          <w:rtl/>
        </w:rPr>
      </w:pPr>
      <w:r>
        <w:rPr>
          <w:rFonts w:hint="cs"/>
          <w:rtl/>
        </w:rPr>
        <w:t xml:space="preserve">למה בהתיזה צרורות לא אמרינן בתר מעיקרא אזלינן והו"ל נזק ברשות הרבים </w:t>
      </w:r>
    </w:p>
    <w:p w14:paraId="6CC87FFC" w14:textId="77777777" w:rsidR="00687390" w:rsidRDefault="00687390" w:rsidP="00F4678C">
      <w:pPr>
        <w:rPr>
          <w:rtl/>
        </w:rPr>
      </w:pPr>
      <w:r>
        <w:rPr>
          <w:rFonts w:hint="cs"/>
          <w:rtl/>
        </w:rPr>
        <w:t xml:space="preserve">עיין ברא"ש ב:ב ואע"ג דגבי דרסה ..בחצק הניזק </w:t>
      </w:r>
      <w:r>
        <w:rPr>
          <w:rtl/>
        </w:rPr>
        <w:t>–</w:t>
      </w:r>
      <w:r>
        <w:rPr>
          <w:rFonts w:hint="cs"/>
          <w:rtl/>
        </w:rPr>
        <w:t xml:space="preserve"> איך להבין החילוק של הרא"ש בין הדין של בתר מעיקרא לבין הדין של פטור רשות הרבים </w:t>
      </w:r>
    </w:p>
    <w:p w14:paraId="62E2DEE1" w14:textId="77777777" w:rsidR="00687390" w:rsidRDefault="008232F5" w:rsidP="00F4678C">
      <w:pPr>
        <w:rPr>
          <w:rtl/>
        </w:rPr>
      </w:pPr>
      <w:r>
        <w:rPr>
          <w:rFonts w:hint="cs"/>
          <w:rtl/>
        </w:rPr>
        <w:t xml:space="preserve">עיין בתירוץ של האמרי משה </w:t>
      </w:r>
    </w:p>
    <w:p w14:paraId="348D5327" w14:textId="77777777" w:rsidR="008232F5" w:rsidRDefault="008232F5" w:rsidP="00F4678C">
      <w:pPr>
        <w:rPr>
          <w:rtl/>
        </w:rPr>
      </w:pPr>
    </w:p>
    <w:p w14:paraId="2CBBCAD9" w14:textId="77777777" w:rsidR="008232F5" w:rsidRDefault="00C84466" w:rsidP="00F4678C">
      <w:pPr>
        <w:rPr>
          <w:rtl/>
        </w:rPr>
      </w:pPr>
      <w:r>
        <w:rPr>
          <w:noProof/>
        </w:rPr>
        <w:drawing>
          <wp:inline distT="0" distB="0" distL="0" distR="0" wp14:anchorId="527CFC11" wp14:editId="1FDEF384">
            <wp:extent cx="5274310" cy="349948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1ABD7" w14:textId="77777777" w:rsidR="00C84466" w:rsidRDefault="00C84466" w:rsidP="00F4678C">
      <w:pPr>
        <w:rPr>
          <w:rtl/>
        </w:rPr>
      </w:pPr>
    </w:p>
    <w:p w14:paraId="2D0A3C1C" w14:textId="77777777" w:rsidR="00C84466" w:rsidRDefault="00C84466" w:rsidP="00F4678C">
      <w:pPr>
        <w:rPr>
          <w:rtl/>
        </w:rPr>
      </w:pPr>
    </w:p>
    <w:p w14:paraId="7CB0D250" w14:textId="77777777" w:rsidR="008232F5" w:rsidRDefault="008232F5" w:rsidP="00F4678C">
      <w:pPr>
        <w:rPr>
          <w:rtl/>
        </w:rPr>
      </w:pPr>
      <w:r>
        <w:rPr>
          <w:rFonts w:hint="cs"/>
          <w:rtl/>
        </w:rPr>
        <w:t xml:space="preserve">עיין בברכת שמואל ב"ק סימן י"ז מה ההבדל בין התירוץ של האמרי משה לבין דברי הברכת שמואל </w:t>
      </w:r>
    </w:p>
    <w:p w14:paraId="26814698" w14:textId="77777777" w:rsidR="008232F5" w:rsidRDefault="008232F5" w:rsidP="00F4678C">
      <w:r>
        <w:rPr>
          <w:noProof/>
        </w:rPr>
        <w:drawing>
          <wp:inline distT="0" distB="0" distL="0" distR="0" wp14:anchorId="4730D28A" wp14:editId="3709CBD4">
            <wp:extent cx="5274310" cy="451040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1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32F5" w:rsidSect="005076E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DC7B16"/>
    <w:multiLevelType w:val="hybridMultilevel"/>
    <w:tmpl w:val="7628636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7D761B"/>
    <w:multiLevelType w:val="hybridMultilevel"/>
    <w:tmpl w:val="3850D06A"/>
    <w:lvl w:ilvl="0" w:tplc="75188328">
      <w:start w:val="2"/>
      <w:numFmt w:val="bullet"/>
      <w:lvlText w:val=""/>
      <w:lvlJc w:val="left"/>
      <w:pPr>
        <w:ind w:left="720" w:hanging="360"/>
      </w:pPr>
      <w:rPr>
        <w:rFonts w:ascii="Wingdings" w:eastAsiaTheme="minorHAnsi" w:hAnsi="Wingdings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0383019">
    <w:abstractNumId w:val="0"/>
  </w:num>
  <w:num w:numId="2" w16cid:durableId="16857456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C0B"/>
    <w:rsid w:val="00321D6A"/>
    <w:rsid w:val="003B5B74"/>
    <w:rsid w:val="005076E1"/>
    <w:rsid w:val="00687390"/>
    <w:rsid w:val="008232F5"/>
    <w:rsid w:val="009443D9"/>
    <w:rsid w:val="00A47072"/>
    <w:rsid w:val="00A95D8F"/>
    <w:rsid w:val="00B77E7D"/>
    <w:rsid w:val="00C84466"/>
    <w:rsid w:val="00DD4918"/>
    <w:rsid w:val="00F4678C"/>
    <w:rsid w:val="00F50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322CD6"/>
  <w15:chartTrackingRefBased/>
  <w15:docId w15:val="{C059EE0F-E751-42C6-A9C0-F0E82E852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David" w:eastAsiaTheme="minorHAnsi" w:hAnsi="David" w:cs="David"/>
        <w:sz w:val="36"/>
        <w:szCs w:val="36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5B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184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taragin</dc:creator>
  <cp:keywords/>
  <dc:description/>
  <cp:lastModifiedBy>michael taragin</cp:lastModifiedBy>
  <cp:revision>9</cp:revision>
  <dcterms:created xsi:type="dcterms:W3CDTF">2017-12-20T21:20:00Z</dcterms:created>
  <dcterms:modified xsi:type="dcterms:W3CDTF">2023-12-03T10:12:00Z</dcterms:modified>
</cp:coreProperties>
</file>