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fields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the one hand, some of the psukim sound like we must totally abandon the field: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ושש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ואספת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והשביעת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תשמטנה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ונטשתה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לזיתך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כד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לאמר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ליקוק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שש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ואספת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תזמר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תקצור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תבצר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ולעבדך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ולשכירך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ולתושבך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בארצך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...(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נאסף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תבואתנו</w:t>
      </w:r>
      <w:r w:rsidDel="00000000" w:rsidR="00000000" w:rsidRPr="00000000">
        <w:rPr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וצויתי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וזרעתם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ואכלתם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התבואה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התשיעת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עמדי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the other, it’s clear that we can and </w:t>
      </w:r>
      <w:r w:rsidDel="00000000" w:rsidR="00000000" w:rsidRPr="00000000">
        <w:rPr>
          <w:b w:val="1"/>
          <w:rtl w:val="0"/>
        </w:rPr>
        <w:t xml:space="preserve">should</w:t>
      </w:r>
      <w:r w:rsidDel="00000000" w:rsidR="00000000" w:rsidRPr="00000000">
        <w:rPr>
          <w:rtl w:val="0"/>
        </w:rPr>
        <w:t xml:space="preserve"> eat the produce: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והשביעת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ואכלו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עמך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ויתרם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לזיתך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כד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לאמר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ושבתה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ליקוק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שדך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תזרע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וכרמך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תזמר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ולעבדך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ולאמתך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ולשכירך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ולתושבך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בארצך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Sifra states that there is a balance, wherein collecting and using the fruits is permitted, but in a more limited manner:   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המבוזר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המופקר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תבצור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הבוצרים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במוקצה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ובקוטבי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לבדידה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When do you need to avoid the normal manner of harvesting?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לקצור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}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:   </w:t>
      </w:r>
      <w:r w:rsidDel="00000000" w:rsidR="00000000" w:rsidRPr="00000000">
        <w:rPr>
          <w:b w:val="1"/>
          <w:rtl w:val="1"/>
        </w:rPr>
        <w:t xml:space="preserve">נזירך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שהנזרת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והפרשת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הפקרתם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תבצר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בוצר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המופקר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תבצור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הבוצרין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אורחיה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הקוצרין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לוקה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כגון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שקצר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והעמיד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כרי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בבקר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קוצר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יאספם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מייבשן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1"/>
        <w:tblW w:w="7485.0" w:type="dxa"/>
        <w:jc w:val="left"/>
        <w:tblInd w:w="1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5"/>
        <w:gridCol w:w="2490"/>
        <w:gridCol w:w="2490"/>
        <w:tblGridChange w:id="0">
          <w:tblGrid>
            <w:gridCol w:w="2505"/>
            <w:gridCol w:w="2490"/>
            <w:gridCol w:w="24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000000" w:space="0" w:sz="0" w:val="nil"/>
            </w:tcBorders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240" w:befor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שמור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000000" w:space="0" w:sz="0" w:val="nil"/>
            </w:tcBorders>
            <w:shd w:fill="4472c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40" w:befor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מופקר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d5ea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ת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cfd5ea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אסור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לקצור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cfd5ea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בשינוי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bf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e9ebf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אסור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לקצור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e9ebf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מדא</w:t>
            </w:r>
            <w:r w:rsidDel="00000000" w:rsidR="00000000" w:rsidRPr="00000000">
              <w:rPr>
                <w:rtl w:val="1"/>
              </w:rPr>
              <w:t xml:space="preserve">')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d5ea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cfd5ea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בשינוי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cfd5ea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bf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e9ebf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בשינוי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e9ebf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בשינוי</w:t>
            </w:r>
          </w:p>
        </w:tc>
      </w:tr>
    </w:tbl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counts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במוקצה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חרבה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חרב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מברטנורא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במוקצה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בחרבה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הבוצרים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וכדך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בעלות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44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