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985D" w14:textId="77777777" w:rsidR="00BA27FC" w:rsidRPr="002601E7" w:rsidRDefault="00BA27FC" w:rsidP="00BA27FC">
      <w:pPr>
        <w:pStyle w:val="ListParagraph"/>
        <w:numPr>
          <w:ilvl w:val="0"/>
          <w:numId w:val="1"/>
        </w:numPr>
        <w:rPr>
          <w:b/>
          <w:bCs/>
          <w:sz w:val="28"/>
          <w:szCs w:val="28"/>
          <w:u w:val="single"/>
          <w:rtl/>
        </w:rPr>
      </w:pPr>
      <w:r w:rsidRPr="002601E7">
        <w:rPr>
          <w:rFonts w:hint="cs"/>
          <w:b/>
          <w:bCs/>
          <w:sz w:val="28"/>
          <w:szCs w:val="28"/>
          <w:u w:val="single"/>
          <w:rtl/>
        </w:rPr>
        <w:t xml:space="preserve">פטור כלים בבור </w:t>
      </w:r>
    </w:p>
    <w:p w14:paraId="3A52E1C8" w14:textId="77777777" w:rsidR="00BA27FC" w:rsidRPr="002601E7" w:rsidRDefault="00BA27FC" w:rsidP="00BA27FC">
      <w:pPr>
        <w:rPr>
          <w:sz w:val="28"/>
          <w:szCs w:val="28"/>
          <w:rtl/>
        </w:rPr>
      </w:pPr>
      <w:r w:rsidRPr="002601E7">
        <w:rPr>
          <w:rFonts w:hint="cs"/>
          <w:sz w:val="28"/>
          <w:szCs w:val="28"/>
          <w:rtl/>
        </w:rPr>
        <w:t>משנה (נב.)</w:t>
      </w:r>
      <w:r w:rsidRPr="002601E7">
        <w:rPr>
          <w:rFonts w:hint="cs"/>
          <w:sz w:val="28"/>
          <w:szCs w:val="28"/>
        </w:rPr>
        <w:t xml:space="preserve"> </w:t>
      </w:r>
      <w:r w:rsidRPr="002601E7">
        <w:rPr>
          <w:rFonts w:hint="cs"/>
          <w:sz w:val="28"/>
          <w:szCs w:val="28"/>
          <w:rtl/>
        </w:rPr>
        <w:t xml:space="preserve">, גמ' שם ( נג: ) ...מונפל נפקא </w:t>
      </w:r>
    </w:p>
    <w:p w14:paraId="18AC7FC3" w14:textId="77777777" w:rsidR="00BA27FC" w:rsidRPr="002601E7" w:rsidRDefault="00BA27FC" w:rsidP="00BA27FC">
      <w:pPr>
        <w:rPr>
          <w:sz w:val="28"/>
          <w:szCs w:val="28"/>
          <w:rtl/>
        </w:rPr>
      </w:pPr>
      <w:r w:rsidRPr="002601E7">
        <w:rPr>
          <w:rFonts w:hint="cs"/>
          <w:sz w:val="28"/>
          <w:szCs w:val="28"/>
          <w:rtl/>
        </w:rPr>
        <w:t>עיין רש"י ( י.)</w:t>
      </w:r>
      <w:r w:rsidRPr="002601E7">
        <w:rPr>
          <w:rFonts w:hint="cs"/>
          <w:sz w:val="28"/>
          <w:szCs w:val="28"/>
        </w:rPr>
        <w:t xml:space="preserve"> </w:t>
      </w:r>
      <w:r w:rsidRPr="002601E7">
        <w:rPr>
          <w:rFonts w:hint="cs"/>
          <w:sz w:val="28"/>
          <w:szCs w:val="28"/>
          <w:rtl/>
        </w:rPr>
        <w:t xml:space="preserve">ד"ה שייר , בתוס' (י.) ד"ה שייר ובמאירי (י.) ד"ה חומר בבור </w:t>
      </w:r>
    </w:p>
    <w:p w14:paraId="2CAE27F8" w14:textId="77777777" w:rsidR="00BA27FC" w:rsidRPr="002601E7" w:rsidRDefault="00BA27FC" w:rsidP="00BA27FC">
      <w:pPr>
        <w:rPr>
          <w:sz w:val="28"/>
          <w:szCs w:val="28"/>
          <w:rtl/>
        </w:rPr>
      </w:pPr>
    </w:p>
    <w:p w14:paraId="30401D8D" w14:textId="77777777" w:rsidR="00BA27FC" w:rsidRPr="002601E7" w:rsidRDefault="00BA27FC" w:rsidP="00BA27FC">
      <w:pPr>
        <w:pStyle w:val="ListParagraph"/>
        <w:numPr>
          <w:ilvl w:val="0"/>
          <w:numId w:val="1"/>
        </w:numPr>
        <w:rPr>
          <w:b/>
          <w:bCs/>
          <w:sz w:val="28"/>
          <w:szCs w:val="28"/>
          <w:u w:val="single"/>
          <w:rtl/>
        </w:rPr>
      </w:pPr>
      <w:r w:rsidRPr="002601E7">
        <w:rPr>
          <w:rFonts w:hint="cs"/>
          <w:b/>
          <w:bCs/>
          <w:sz w:val="28"/>
          <w:szCs w:val="28"/>
          <w:u w:val="single"/>
          <w:rtl/>
        </w:rPr>
        <w:t xml:space="preserve">חיוב בור על נזק קרקע </w:t>
      </w:r>
    </w:p>
    <w:p w14:paraId="26BA7680" w14:textId="77777777" w:rsidR="00BA27FC" w:rsidRPr="002601E7" w:rsidRDefault="00BA27FC" w:rsidP="00BA27FC">
      <w:pPr>
        <w:rPr>
          <w:sz w:val="28"/>
          <w:szCs w:val="28"/>
          <w:rtl/>
        </w:rPr>
      </w:pPr>
      <w:r w:rsidRPr="002601E7">
        <w:rPr>
          <w:rFonts w:hint="cs"/>
          <w:sz w:val="28"/>
          <w:szCs w:val="28"/>
          <w:rtl/>
        </w:rPr>
        <w:t xml:space="preserve">עיין רש"י (י.) ד"ה דש בנירו </w:t>
      </w:r>
    </w:p>
    <w:p w14:paraId="50CEF6E3" w14:textId="5A60E2E4" w:rsidR="000B2091" w:rsidRDefault="00BA27FC" w:rsidP="00BA27FC">
      <w:pPr>
        <w:rPr>
          <w:rtl/>
        </w:rPr>
      </w:pPr>
      <w:r w:rsidRPr="002601E7">
        <w:rPr>
          <w:rFonts w:hint="cs"/>
          <w:sz w:val="28"/>
          <w:szCs w:val="28"/>
          <w:rtl/>
        </w:rPr>
        <w:t>רשב"א ד"ה וליחכה</w:t>
      </w:r>
    </w:p>
    <w:p w14:paraId="79584AC2" w14:textId="77777777" w:rsidR="00BA27FC" w:rsidRDefault="00BA27FC" w:rsidP="00BA27FC">
      <w:pPr>
        <w:rPr>
          <w:rtl/>
        </w:rPr>
      </w:pPr>
    </w:p>
    <w:p w14:paraId="61F9FD05" w14:textId="77777777" w:rsidR="00BA27FC" w:rsidRPr="009455C9" w:rsidRDefault="00BA27FC" w:rsidP="00BA27FC">
      <w:pPr>
        <w:rPr>
          <w:sz w:val="28"/>
          <w:szCs w:val="28"/>
          <w:rtl/>
        </w:rPr>
      </w:pPr>
      <w:r w:rsidRPr="009455C9">
        <w:rPr>
          <w:rFonts w:hint="cs"/>
          <w:sz w:val="28"/>
          <w:szCs w:val="28"/>
          <w:rtl/>
        </w:rPr>
        <w:t xml:space="preserve">בענין מסר שורו לה' בני אדם ומרבה בחבילה </w:t>
      </w:r>
    </w:p>
    <w:p w14:paraId="4E6C88A6" w14:textId="77777777" w:rsidR="00BA27FC" w:rsidRPr="009455C9" w:rsidRDefault="00BA27FC" w:rsidP="00BA27FC">
      <w:pPr>
        <w:rPr>
          <w:sz w:val="28"/>
          <w:szCs w:val="28"/>
          <w:rtl/>
        </w:rPr>
      </w:pPr>
    </w:p>
    <w:p w14:paraId="34C32E5C" w14:textId="77777777" w:rsidR="00BA27FC" w:rsidRPr="009455C9" w:rsidRDefault="00BA27FC" w:rsidP="00BA27FC">
      <w:pPr>
        <w:pStyle w:val="ListParagraph"/>
        <w:numPr>
          <w:ilvl w:val="0"/>
          <w:numId w:val="2"/>
        </w:numPr>
        <w:rPr>
          <w:sz w:val="28"/>
          <w:szCs w:val="28"/>
          <w:rtl/>
        </w:rPr>
      </w:pPr>
      <w:r w:rsidRPr="009455C9">
        <w:rPr>
          <w:rFonts w:hint="cs"/>
          <w:sz w:val="28"/>
          <w:szCs w:val="28"/>
          <w:rtl/>
        </w:rPr>
        <w:t>(י.) ותו ליכא ..קא עביד</w:t>
      </w:r>
      <w:r>
        <w:rPr>
          <w:rFonts w:hint="cs"/>
          <w:sz w:val="28"/>
          <w:szCs w:val="28"/>
          <w:rtl/>
        </w:rPr>
        <w:t xml:space="preserve"> ( השני)</w:t>
      </w:r>
      <w:r>
        <w:rPr>
          <w:rFonts w:hint="cs"/>
          <w:sz w:val="28"/>
          <w:szCs w:val="28"/>
        </w:rPr>
        <w:t xml:space="preserve"> </w:t>
      </w:r>
      <w:r w:rsidRPr="009455C9">
        <w:rPr>
          <w:rFonts w:hint="cs"/>
          <w:sz w:val="28"/>
          <w:szCs w:val="28"/>
          <w:rtl/>
        </w:rPr>
        <w:t xml:space="preserve"> </w:t>
      </w:r>
    </w:p>
    <w:p w14:paraId="3ED64209" w14:textId="77777777" w:rsidR="00BA27FC" w:rsidRPr="009455C9" w:rsidRDefault="00BA27FC" w:rsidP="00BA27FC">
      <w:pPr>
        <w:rPr>
          <w:sz w:val="28"/>
          <w:szCs w:val="28"/>
          <w:rtl/>
        </w:rPr>
      </w:pPr>
      <w:r w:rsidRPr="009455C9">
        <w:rPr>
          <w:rFonts w:hint="cs"/>
          <w:sz w:val="28"/>
          <w:szCs w:val="28"/>
          <w:rtl/>
        </w:rPr>
        <w:t xml:space="preserve">רש"י ( י: ) ד"ה פשיטא, מאי </w:t>
      </w:r>
    </w:p>
    <w:p w14:paraId="3CB0191A" w14:textId="77777777" w:rsidR="00BA27FC" w:rsidRPr="009455C9" w:rsidRDefault="00BA27FC" w:rsidP="00BA27FC">
      <w:pPr>
        <w:rPr>
          <w:sz w:val="28"/>
          <w:szCs w:val="28"/>
          <w:rtl/>
        </w:rPr>
      </w:pPr>
      <w:r w:rsidRPr="009455C9">
        <w:rPr>
          <w:rFonts w:hint="cs"/>
          <w:sz w:val="28"/>
          <w:szCs w:val="28"/>
          <w:rtl/>
        </w:rPr>
        <w:t>תוד"ה מאי , תוס' רבינו פרץ</w:t>
      </w:r>
    </w:p>
    <w:p w14:paraId="4ABFDF60" w14:textId="77777777" w:rsidR="00BA27FC" w:rsidRDefault="00BA27FC" w:rsidP="00BA27FC">
      <w:pPr>
        <w:rPr>
          <w:sz w:val="28"/>
          <w:szCs w:val="28"/>
        </w:rPr>
      </w:pPr>
      <w:r w:rsidRPr="009455C9">
        <w:rPr>
          <w:rFonts w:hint="cs"/>
          <w:sz w:val="28"/>
          <w:szCs w:val="28"/>
          <w:rtl/>
        </w:rPr>
        <w:t xml:space="preserve">איך אפשר לתרץ קושית התוס'  מבור? </w:t>
      </w:r>
    </w:p>
    <w:p w14:paraId="3DE9330D" w14:textId="77777777" w:rsidR="00BA27FC" w:rsidRPr="009455C9" w:rsidRDefault="00BA27FC" w:rsidP="00BA27FC">
      <w:pPr>
        <w:pStyle w:val="ListParagraph"/>
        <w:numPr>
          <w:ilvl w:val="0"/>
          <w:numId w:val="2"/>
        </w:numPr>
        <w:rPr>
          <w:sz w:val="28"/>
          <w:szCs w:val="28"/>
        </w:rPr>
      </w:pPr>
      <w:r w:rsidRPr="009455C9">
        <w:rPr>
          <w:rFonts w:hint="cs"/>
          <w:sz w:val="28"/>
          <w:szCs w:val="28"/>
          <w:rtl/>
        </w:rPr>
        <w:t xml:space="preserve">עיין ברא"ש סימן ט' </w:t>
      </w:r>
      <w:r w:rsidRPr="009455C9">
        <w:rPr>
          <w:sz w:val="28"/>
          <w:szCs w:val="28"/>
          <w:rtl/>
        </w:rPr>
        <w:t>–</w:t>
      </w:r>
      <w:r w:rsidRPr="009455C9">
        <w:rPr>
          <w:rFonts w:hint="cs"/>
          <w:sz w:val="28"/>
          <w:szCs w:val="28"/>
          <w:rtl/>
        </w:rPr>
        <w:t xml:space="preserve"> האם יש חילוק בין דברי רש"י לדברי הרא"ש ?</w:t>
      </w:r>
    </w:p>
    <w:p w14:paraId="36585702" w14:textId="77777777" w:rsidR="00BA27FC" w:rsidRDefault="00BA27FC" w:rsidP="00BA27FC">
      <w:pPr>
        <w:pStyle w:val="ListParagraph"/>
        <w:rPr>
          <w:sz w:val="28"/>
          <w:szCs w:val="28"/>
          <w:rtl/>
        </w:rPr>
      </w:pPr>
    </w:p>
    <w:p w14:paraId="760EC708" w14:textId="77777777" w:rsidR="00BA27FC" w:rsidRPr="009455C9" w:rsidRDefault="00BA27FC" w:rsidP="00BA27FC">
      <w:pPr>
        <w:pStyle w:val="ListParagraph"/>
        <w:rPr>
          <w:b/>
          <w:bCs/>
          <w:sz w:val="28"/>
          <w:szCs w:val="28"/>
          <w:u w:val="single"/>
          <w:rtl/>
        </w:rPr>
      </w:pPr>
      <w:r w:rsidRPr="009455C9">
        <w:rPr>
          <w:b/>
          <w:bCs/>
          <w:sz w:val="28"/>
          <w:szCs w:val="28"/>
          <w:u w:val="single"/>
          <w:rtl/>
        </w:rPr>
        <w:t>ים של שלמה מסכת בבא קמא פרק א סימן כז</w:t>
      </w:r>
    </w:p>
    <w:p w14:paraId="2FF67FE8" w14:textId="77777777" w:rsidR="00BA27FC" w:rsidRPr="009455C9" w:rsidRDefault="00BA27FC" w:rsidP="00BA27FC">
      <w:pPr>
        <w:pStyle w:val="ListParagraph"/>
        <w:rPr>
          <w:sz w:val="28"/>
          <w:szCs w:val="28"/>
          <w:rtl/>
        </w:rPr>
      </w:pPr>
      <w:r w:rsidRPr="009455C9">
        <w:rPr>
          <w:sz w:val="28"/>
          <w:szCs w:val="28"/>
          <w:rtl/>
        </w:rPr>
        <w:t>וא"כ מובן לפי דבריו שתלוי בזה שמסר שורו לכל מי שיכול לשומרו, מאחר שכל אחד יכול לשומרו בלא חבירו. א"כ אפי' יהיב להו שורו לחמשה בסתמא לשומרו. בודאי אדעתא דהכי יהיב. שכל אחד יהיה משתעבד לשומרו אפילו בלא חבירו. א"כ לא נסתלקו שמירתן עד שיאמרו לו כו'. אבל אם פירש בהדיא ואמר אני אמסור לכם שורי שתשמרו כולכם ביחד, א"כ ממילא כשסילק האחד ופשע. ויש יכולת ביד האחרים לשומרו. וגם הם פשעו, כולם חייבים. אפי' הראשון חייב, אף שלא אמרו האחרים ג"כ אנו מסלקים את עצמינו. שהרי הוא מסר שורו לכולם, שישמרו כאחת. ואפי' אי יהיב להו שורו לחמשה בסתמא כדפי' כו'. מ"מ אם האחרים עניים, והחמישי שפשע עשיר הוא, אף שהוא פטור כשאחרים לא נסתלקו משמירתם. מ"מ יכול בעל השור לאשתעוי דינא עם העשיר שפשע. והוא ליזל וישתעי דינא עמהם. כי מאחר שקבל כל אחד שמירתו עליו. א"כ לא נסתלקה שמירתו כנגד הבעל. עד שיחזור לו לביתו. ובעינן אפי' דעת בעלים לר' עקיבא, כדאיתא בהגוזל בתרא (לקמן קי"ח ע"ב):</w:t>
      </w:r>
    </w:p>
    <w:p w14:paraId="1E95C6D1" w14:textId="77777777" w:rsidR="00BA27FC" w:rsidRPr="009455C9" w:rsidRDefault="00BA27FC" w:rsidP="00BA27FC">
      <w:pPr>
        <w:pStyle w:val="ListParagraph"/>
        <w:rPr>
          <w:sz w:val="28"/>
          <w:szCs w:val="28"/>
          <w:rtl/>
        </w:rPr>
      </w:pPr>
    </w:p>
    <w:p w14:paraId="72F90A1A" w14:textId="77777777" w:rsidR="00BA27FC" w:rsidRDefault="00BA27FC" w:rsidP="00BA27FC">
      <w:pPr>
        <w:pStyle w:val="ListParagraph"/>
        <w:numPr>
          <w:ilvl w:val="0"/>
          <w:numId w:val="2"/>
        </w:numPr>
        <w:rPr>
          <w:sz w:val="28"/>
          <w:szCs w:val="28"/>
        </w:rPr>
      </w:pPr>
      <w:r w:rsidRPr="009455C9">
        <w:rPr>
          <w:rFonts w:hint="cs"/>
          <w:sz w:val="28"/>
          <w:szCs w:val="28"/>
          <w:rtl/>
        </w:rPr>
        <w:t>עיין בתוס' ( נו: )</w:t>
      </w:r>
      <w:r w:rsidRPr="009455C9">
        <w:rPr>
          <w:sz w:val="28"/>
          <w:szCs w:val="28"/>
          <w:rtl/>
        </w:rPr>
        <w:t>–</w:t>
      </w:r>
      <w:r>
        <w:rPr>
          <w:rFonts w:hint="cs"/>
          <w:sz w:val="28"/>
          <w:szCs w:val="28"/>
          <w:rtl/>
        </w:rPr>
        <w:t xml:space="preserve">ד"ה פשחטא " ויש לומר דסברא הוא ....סוף התוס' </w:t>
      </w:r>
    </w:p>
    <w:p w14:paraId="570580E7" w14:textId="77777777" w:rsidR="00BA27FC" w:rsidRPr="009455C9" w:rsidRDefault="00BA27FC" w:rsidP="00BA27FC">
      <w:pPr>
        <w:ind w:left="360"/>
        <w:rPr>
          <w:sz w:val="28"/>
          <w:szCs w:val="28"/>
        </w:rPr>
      </w:pPr>
      <w:r w:rsidRPr="009455C9">
        <w:rPr>
          <w:rFonts w:hint="cs"/>
          <w:sz w:val="28"/>
          <w:szCs w:val="28"/>
          <w:rtl/>
        </w:rPr>
        <w:t xml:space="preserve"> מה הם שתי הדעות בהגדרת חובת ה</w:t>
      </w:r>
      <w:r>
        <w:rPr>
          <w:rFonts w:hint="cs"/>
          <w:sz w:val="28"/>
          <w:szCs w:val="28"/>
          <w:rtl/>
        </w:rPr>
        <w:t xml:space="preserve">גזלן לשלם  בשמירת נזיקין של הבהמה שגזל </w:t>
      </w:r>
      <w:r w:rsidRPr="009455C9">
        <w:rPr>
          <w:rFonts w:hint="cs"/>
          <w:sz w:val="28"/>
          <w:szCs w:val="28"/>
          <w:rtl/>
        </w:rPr>
        <w:t xml:space="preserve">? </w:t>
      </w:r>
    </w:p>
    <w:p w14:paraId="092F08B2" w14:textId="77777777" w:rsidR="00BA27FC" w:rsidRPr="009455C9" w:rsidRDefault="00BA27FC" w:rsidP="00BA27FC">
      <w:pPr>
        <w:pStyle w:val="ListParagraph"/>
        <w:rPr>
          <w:sz w:val="28"/>
          <w:szCs w:val="28"/>
          <w:rtl/>
        </w:rPr>
      </w:pPr>
      <w:r w:rsidRPr="009455C9">
        <w:rPr>
          <w:rFonts w:hint="cs"/>
          <w:sz w:val="28"/>
          <w:szCs w:val="28"/>
          <w:rtl/>
        </w:rPr>
        <w:t xml:space="preserve">האם יש קשר למחלוקת רש"י והתוס' ? </w:t>
      </w:r>
    </w:p>
    <w:p w14:paraId="6C6D41EB" w14:textId="77777777" w:rsidR="00BA27FC" w:rsidRPr="009455C9" w:rsidRDefault="00BA27FC" w:rsidP="00BA27FC">
      <w:pPr>
        <w:pStyle w:val="ListParagraph"/>
        <w:rPr>
          <w:sz w:val="28"/>
          <w:szCs w:val="28"/>
          <w:rtl/>
        </w:rPr>
      </w:pPr>
    </w:p>
    <w:p w14:paraId="3686C97C" w14:textId="77777777" w:rsidR="00BA27FC" w:rsidRDefault="00BA27FC" w:rsidP="00BA27FC">
      <w:pPr>
        <w:pStyle w:val="ListParagraph"/>
        <w:numPr>
          <w:ilvl w:val="0"/>
          <w:numId w:val="2"/>
        </w:numPr>
        <w:rPr>
          <w:sz w:val="28"/>
          <w:szCs w:val="28"/>
          <w:rtl/>
        </w:rPr>
      </w:pPr>
      <w:r w:rsidRPr="009455C9">
        <w:rPr>
          <w:rFonts w:hint="cs"/>
          <w:sz w:val="28"/>
          <w:szCs w:val="28"/>
          <w:rtl/>
        </w:rPr>
        <w:t xml:space="preserve">שיטת הרמב"ם </w:t>
      </w:r>
      <w:r w:rsidRPr="009455C9">
        <w:rPr>
          <w:sz w:val="28"/>
          <w:szCs w:val="28"/>
          <w:rtl/>
        </w:rPr>
        <w:t>–</w:t>
      </w:r>
      <w:r w:rsidRPr="009455C9">
        <w:rPr>
          <w:rFonts w:hint="cs"/>
          <w:sz w:val="28"/>
          <w:szCs w:val="28"/>
          <w:rtl/>
        </w:rPr>
        <w:t xml:space="preserve"> עיין רמב"ם ד:ז </w:t>
      </w:r>
      <w:r w:rsidRPr="009455C9">
        <w:rPr>
          <w:sz w:val="28"/>
          <w:szCs w:val="28"/>
          <w:rtl/>
        </w:rPr>
        <w:t>–</w:t>
      </w:r>
      <w:r w:rsidRPr="009455C9">
        <w:rPr>
          <w:rFonts w:hint="cs"/>
          <w:sz w:val="28"/>
          <w:szCs w:val="28"/>
          <w:rtl/>
        </w:rPr>
        <w:t xml:space="preserve"> למה חייב הראשון שעזב יחד עם </w:t>
      </w:r>
    </w:p>
    <w:p w14:paraId="6BEC7049" w14:textId="77777777" w:rsidR="00BA27FC" w:rsidRPr="009455C9" w:rsidRDefault="00BA27FC" w:rsidP="00BA27FC">
      <w:pPr>
        <w:pStyle w:val="ListParagraph"/>
        <w:rPr>
          <w:sz w:val="28"/>
          <w:szCs w:val="28"/>
          <w:rtl/>
        </w:rPr>
      </w:pPr>
    </w:p>
    <w:p w14:paraId="689CA358" w14:textId="77777777" w:rsidR="00BA27FC" w:rsidRPr="00493776" w:rsidRDefault="00BA27FC" w:rsidP="00BA27FC">
      <w:pPr>
        <w:rPr>
          <w:sz w:val="28"/>
          <w:szCs w:val="28"/>
        </w:rPr>
      </w:pPr>
      <w:r w:rsidRPr="00493776">
        <w:rPr>
          <w:rFonts w:hint="cs"/>
          <w:b/>
          <w:bCs/>
          <w:sz w:val="28"/>
          <w:szCs w:val="28"/>
          <w:u w:val="single"/>
          <w:rtl/>
        </w:rPr>
        <w:t xml:space="preserve">מרבה בחבילה </w:t>
      </w:r>
      <w:r w:rsidRPr="00493776">
        <w:rPr>
          <w:sz w:val="28"/>
          <w:szCs w:val="28"/>
          <w:rtl/>
        </w:rPr>
        <w:t>–</w:t>
      </w:r>
    </w:p>
    <w:p w14:paraId="5C334680" w14:textId="77777777" w:rsidR="00BA27FC" w:rsidRDefault="00BA27FC" w:rsidP="00BA27FC">
      <w:pPr>
        <w:pStyle w:val="ListParagraph"/>
        <w:numPr>
          <w:ilvl w:val="0"/>
          <w:numId w:val="3"/>
        </w:numPr>
        <w:rPr>
          <w:sz w:val="28"/>
          <w:szCs w:val="28"/>
        </w:rPr>
      </w:pPr>
      <w:r>
        <w:rPr>
          <w:rFonts w:hint="cs"/>
          <w:sz w:val="28"/>
          <w:szCs w:val="28"/>
          <w:rtl/>
        </w:rPr>
        <w:t>עיין בתוס' ד"ה מאי (</w:t>
      </w:r>
      <w:r>
        <w:rPr>
          <w:rFonts w:hint="cs"/>
          <w:sz w:val="28"/>
          <w:szCs w:val="28"/>
        </w:rPr>
        <w:t xml:space="preserve"> </w:t>
      </w:r>
      <w:r>
        <w:rPr>
          <w:rFonts w:hint="cs"/>
          <w:sz w:val="28"/>
          <w:szCs w:val="28"/>
          <w:rtl/>
        </w:rPr>
        <w:t xml:space="preserve">שכבר ראינו במקורות הקודמים </w:t>
      </w:r>
      <w:r>
        <w:rPr>
          <w:sz w:val="28"/>
          <w:szCs w:val="28"/>
          <w:rtl/>
        </w:rPr>
        <w:t>–</w:t>
      </w:r>
      <w:r>
        <w:rPr>
          <w:rFonts w:hint="cs"/>
          <w:sz w:val="28"/>
          <w:szCs w:val="28"/>
          <w:rtl/>
        </w:rPr>
        <w:t xml:space="preserve"> נא לי=חזור על התוס'- )</w:t>
      </w:r>
      <w:r>
        <w:rPr>
          <w:rFonts w:hint="cs"/>
          <w:sz w:val="28"/>
          <w:szCs w:val="28"/>
        </w:rPr>
        <w:t xml:space="preserve"> </w:t>
      </w:r>
    </w:p>
    <w:p w14:paraId="36248D0B" w14:textId="77777777" w:rsidR="00BA27FC" w:rsidRDefault="00BA27FC" w:rsidP="00BA27FC">
      <w:pPr>
        <w:pStyle w:val="ListParagraph"/>
        <w:numPr>
          <w:ilvl w:val="0"/>
          <w:numId w:val="3"/>
        </w:numPr>
        <w:rPr>
          <w:sz w:val="28"/>
          <w:szCs w:val="28"/>
          <w:rtl/>
        </w:rPr>
      </w:pPr>
      <w:r>
        <w:rPr>
          <w:rFonts w:hint="cs"/>
          <w:sz w:val="28"/>
          <w:szCs w:val="28"/>
          <w:rtl/>
        </w:rPr>
        <w:t xml:space="preserve">עיין רשב"א ד"ה הא דאמרינן אלא דבלאו "וא"ת ..סוף הרשב"א </w:t>
      </w:r>
    </w:p>
    <w:p w14:paraId="3343B218" w14:textId="77777777" w:rsidR="00BA27FC" w:rsidRDefault="00BA27FC" w:rsidP="00BA27FC">
      <w:pPr>
        <w:pStyle w:val="ListParagraph"/>
        <w:rPr>
          <w:sz w:val="28"/>
          <w:szCs w:val="28"/>
          <w:rtl/>
        </w:rPr>
      </w:pPr>
      <w:r>
        <w:rPr>
          <w:rFonts w:hint="cs"/>
          <w:sz w:val="28"/>
          <w:szCs w:val="28"/>
          <w:rtl/>
        </w:rPr>
        <w:t>שו"ע או"ח תיח:י</w:t>
      </w:r>
    </w:p>
    <w:p w14:paraId="4714070E" w14:textId="77777777" w:rsidR="00BA27FC" w:rsidRPr="009455C9" w:rsidRDefault="00BA27FC" w:rsidP="00BA27FC">
      <w:pPr>
        <w:pStyle w:val="ListParagraph"/>
        <w:rPr>
          <w:sz w:val="28"/>
          <w:szCs w:val="28"/>
        </w:rPr>
      </w:pPr>
    </w:p>
    <w:p w14:paraId="665F70BC" w14:textId="77777777" w:rsidR="00BA27FC" w:rsidRDefault="00BA27FC" w:rsidP="00BA27FC">
      <w:pPr>
        <w:pStyle w:val="ListParagraph"/>
        <w:numPr>
          <w:ilvl w:val="0"/>
          <w:numId w:val="3"/>
        </w:numPr>
        <w:rPr>
          <w:sz w:val="28"/>
          <w:szCs w:val="28"/>
        </w:rPr>
      </w:pPr>
      <w:r>
        <w:rPr>
          <w:rFonts w:hint="cs"/>
          <w:sz w:val="28"/>
          <w:szCs w:val="28"/>
          <w:rtl/>
        </w:rPr>
        <w:t>(כב.)</w:t>
      </w:r>
      <w:r>
        <w:rPr>
          <w:rFonts w:hint="cs"/>
          <w:sz w:val="28"/>
          <w:szCs w:val="28"/>
        </w:rPr>
        <w:t xml:space="preserve"> </w:t>
      </w:r>
      <w:r>
        <w:rPr>
          <w:rFonts w:hint="cs"/>
          <w:sz w:val="28"/>
          <w:szCs w:val="28"/>
          <w:rtl/>
        </w:rPr>
        <w:t xml:space="preserve"> אתמר ר' יוחנן ...ממשא</w:t>
      </w:r>
    </w:p>
    <w:p w14:paraId="7674D587" w14:textId="77777777" w:rsidR="00BA27FC" w:rsidRPr="009455C9" w:rsidRDefault="00BA27FC" w:rsidP="00BA27FC">
      <w:pPr>
        <w:pStyle w:val="ListParagraph"/>
        <w:numPr>
          <w:ilvl w:val="0"/>
          <w:numId w:val="3"/>
        </w:numPr>
        <w:rPr>
          <w:sz w:val="28"/>
          <w:szCs w:val="28"/>
          <w:rtl/>
        </w:rPr>
      </w:pPr>
      <w:r w:rsidRPr="009455C9">
        <w:rPr>
          <w:rFonts w:hint="cs"/>
          <w:sz w:val="28"/>
          <w:szCs w:val="28"/>
          <w:rtl/>
        </w:rPr>
        <w:t xml:space="preserve">עיין גמ' ( יז: ) בעי רבא ...נינהו , תוד"ה זרק...תבירא תבר </w:t>
      </w:r>
    </w:p>
    <w:p w14:paraId="7B309832" w14:textId="77777777" w:rsidR="00BA27FC" w:rsidRDefault="00BA27FC" w:rsidP="00BA27FC">
      <w:pPr>
        <w:pStyle w:val="ListParagraph"/>
        <w:rPr>
          <w:b/>
          <w:bCs/>
          <w:sz w:val="28"/>
          <w:szCs w:val="28"/>
          <w:u w:val="single"/>
          <w:rtl/>
        </w:rPr>
      </w:pPr>
    </w:p>
    <w:p w14:paraId="124BB59F" w14:textId="77777777" w:rsidR="00BA27FC" w:rsidRPr="009455C9" w:rsidRDefault="00BA27FC" w:rsidP="00BA27FC">
      <w:pPr>
        <w:pStyle w:val="ListParagraph"/>
        <w:rPr>
          <w:b/>
          <w:bCs/>
          <w:sz w:val="28"/>
          <w:szCs w:val="28"/>
          <w:u w:val="single"/>
          <w:rtl/>
        </w:rPr>
      </w:pPr>
      <w:r w:rsidRPr="009455C9">
        <w:rPr>
          <w:b/>
          <w:bCs/>
          <w:sz w:val="28"/>
          <w:szCs w:val="28"/>
          <w:u w:val="single"/>
          <w:rtl/>
        </w:rPr>
        <w:t>קצות החושן סימן שצ</w:t>
      </w:r>
    </w:p>
    <w:p w14:paraId="7D83472F" w14:textId="77777777" w:rsidR="00BA27FC" w:rsidRPr="009455C9" w:rsidRDefault="00BA27FC" w:rsidP="00BA27FC">
      <w:pPr>
        <w:pStyle w:val="ListParagraph"/>
        <w:rPr>
          <w:sz w:val="28"/>
          <w:szCs w:val="28"/>
        </w:rPr>
      </w:pPr>
      <w:r w:rsidRPr="009455C9">
        <w:rPr>
          <w:sz w:val="28"/>
          <w:szCs w:val="28"/>
          <w:rtl/>
        </w:rPr>
        <w:t>ולשיטת תוס' דגבי חץ לא אזלינן בתר מעיקרא א"כ הא דפריך פ"ק דב"ק דף (ה') [י'] (ע"ב) גבי מרבה בחבילות אי דבלאו איהו נמי אזלא מאי קא עביד, ופירש רש"י (ד"ה מרבה) ובתוס' (ד"ה מאי) דמרבה בחבילות היינו באשו, וכיון דאשו אינו אלא משום חציו לא אזלינן בתר מעיקרא.</w:t>
      </w:r>
    </w:p>
    <w:p w14:paraId="304EDFA5" w14:textId="77777777" w:rsidR="00BA27FC" w:rsidRDefault="00BA27FC" w:rsidP="00BA27FC">
      <w:pPr>
        <w:pStyle w:val="ListParagraph"/>
        <w:rPr>
          <w:sz w:val="28"/>
          <w:szCs w:val="28"/>
          <w:rtl/>
        </w:rPr>
      </w:pPr>
      <w:r>
        <w:rPr>
          <w:rFonts w:hint="cs"/>
          <w:sz w:val="28"/>
          <w:szCs w:val="28"/>
          <w:rtl/>
        </w:rPr>
        <w:t xml:space="preserve">תירוץ הברכת שמואל יא:ד </w:t>
      </w:r>
    </w:p>
    <w:p w14:paraId="5CE6834C" w14:textId="77777777" w:rsidR="00BA27FC" w:rsidRDefault="00BA27FC" w:rsidP="00BA27FC">
      <w:pPr>
        <w:pStyle w:val="ListParagraph"/>
        <w:rPr>
          <w:sz w:val="28"/>
          <w:szCs w:val="28"/>
          <w:rtl/>
        </w:rPr>
      </w:pPr>
    </w:p>
    <w:p w14:paraId="1247E9F5" w14:textId="77777777" w:rsidR="00BA27FC" w:rsidRDefault="00BA27FC" w:rsidP="00BA27FC">
      <w:pPr>
        <w:pStyle w:val="ListParagraph"/>
        <w:rPr>
          <w:sz w:val="28"/>
          <w:szCs w:val="28"/>
          <w:rtl/>
        </w:rPr>
      </w:pPr>
      <w:r w:rsidRPr="00523DB0">
        <w:rPr>
          <w:noProof/>
          <w:sz w:val="28"/>
          <w:szCs w:val="28"/>
          <w:rtl/>
        </w:rPr>
        <w:drawing>
          <wp:inline distT="0" distB="0" distL="0" distR="0" wp14:anchorId="4DAF199E" wp14:editId="5176AF6B">
            <wp:extent cx="5274310" cy="7407275"/>
            <wp:effectExtent l="0" t="0" r="2540" b="3175"/>
            <wp:docPr id="1345758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758621" name=""/>
                    <pic:cNvPicPr/>
                  </pic:nvPicPr>
                  <pic:blipFill>
                    <a:blip r:embed="rId5"/>
                    <a:stretch>
                      <a:fillRect/>
                    </a:stretch>
                  </pic:blipFill>
                  <pic:spPr>
                    <a:xfrm>
                      <a:off x="0" y="0"/>
                      <a:ext cx="5274310" cy="7407275"/>
                    </a:xfrm>
                    <a:prstGeom prst="rect">
                      <a:avLst/>
                    </a:prstGeom>
                  </pic:spPr>
                </pic:pic>
              </a:graphicData>
            </a:graphic>
          </wp:inline>
        </w:drawing>
      </w:r>
    </w:p>
    <w:p w14:paraId="6BE70C55" w14:textId="77777777" w:rsidR="00BA27FC" w:rsidRDefault="00BA27FC" w:rsidP="00BA27FC">
      <w:pPr>
        <w:pStyle w:val="ListParagraph"/>
        <w:rPr>
          <w:sz w:val="28"/>
          <w:szCs w:val="28"/>
          <w:rtl/>
        </w:rPr>
      </w:pPr>
      <w:r w:rsidRPr="009455C9">
        <w:rPr>
          <w:rFonts w:hint="cs"/>
          <w:sz w:val="28"/>
          <w:szCs w:val="28"/>
          <w:rtl/>
        </w:rPr>
        <w:t xml:space="preserve">רמב"ם </w:t>
      </w:r>
      <w:r>
        <w:rPr>
          <w:rFonts w:hint="cs"/>
          <w:sz w:val="28"/>
          <w:szCs w:val="28"/>
          <w:rtl/>
        </w:rPr>
        <w:t xml:space="preserve">חובל ומזיק </w:t>
      </w:r>
      <w:r w:rsidRPr="009455C9">
        <w:rPr>
          <w:rFonts w:hint="cs"/>
          <w:sz w:val="28"/>
          <w:szCs w:val="28"/>
          <w:rtl/>
        </w:rPr>
        <w:t xml:space="preserve">ו:יד ( על דין מרבה בחבילה) </w:t>
      </w:r>
      <w:r w:rsidRPr="009455C9">
        <w:rPr>
          <w:sz w:val="28"/>
          <w:szCs w:val="28"/>
          <w:rtl/>
        </w:rPr>
        <w:t>–</w:t>
      </w:r>
      <w:r w:rsidRPr="009455C9">
        <w:rPr>
          <w:rFonts w:hint="cs"/>
          <w:sz w:val="28"/>
          <w:szCs w:val="28"/>
          <w:rtl/>
        </w:rPr>
        <w:t xml:space="preserve"> מה ההבדל בין הרמב"ם לבין רש"י </w:t>
      </w:r>
      <w:r>
        <w:rPr>
          <w:rFonts w:hint="cs"/>
          <w:sz w:val="28"/>
          <w:szCs w:val="28"/>
          <w:rtl/>
        </w:rPr>
        <w:t xml:space="preserve">בהבנת הדין של מרבה בחבילה </w:t>
      </w:r>
    </w:p>
    <w:p w14:paraId="19D0F8CA" w14:textId="77777777" w:rsidR="00BA27FC" w:rsidRPr="009455C9" w:rsidRDefault="00BA27FC" w:rsidP="00BA27FC">
      <w:pPr>
        <w:pStyle w:val="ListParagraph"/>
        <w:rPr>
          <w:sz w:val="28"/>
          <w:szCs w:val="28"/>
        </w:rPr>
      </w:pPr>
    </w:p>
    <w:p w14:paraId="00E5240B" w14:textId="77777777" w:rsidR="00BA27FC" w:rsidRPr="009455C9" w:rsidRDefault="00BA27FC" w:rsidP="00BA27FC">
      <w:pPr>
        <w:rPr>
          <w:sz w:val="28"/>
          <w:szCs w:val="28"/>
        </w:rPr>
      </w:pPr>
    </w:p>
    <w:p w14:paraId="71A4787C" w14:textId="77777777" w:rsidR="00BA27FC" w:rsidRPr="009455C9" w:rsidRDefault="00BA27FC" w:rsidP="00BA27FC">
      <w:pPr>
        <w:pStyle w:val="ListParagraph"/>
        <w:rPr>
          <w:sz w:val="28"/>
          <w:szCs w:val="28"/>
          <w:rtl/>
        </w:rPr>
      </w:pPr>
    </w:p>
    <w:p w14:paraId="63B64174" w14:textId="77777777" w:rsidR="00BA27FC" w:rsidRDefault="00BA27FC" w:rsidP="00BA27FC"/>
    <w:sectPr w:rsidR="00BA27FC" w:rsidSect="00D660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302"/>
    <w:multiLevelType w:val="hybridMultilevel"/>
    <w:tmpl w:val="77F21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261D6"/>
    <w:multiLevelType w:val="hybridMultilevel"/>
    <w:tmpl w:val="DFDCA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B1728"/>
    <w:multiLevelType w:val="hybridMultilevel"/>
    <w:tmpl w:val="C7022FF8"/>
    <w:lvl w:ilvl="0" w:tplc="DD906A7E">
      <w:start w:val="4"/>
      <w:numFmt w:val="bullet"/>
      <w:lvlText w:val=""/>
      <w:lvlJc w:val="left"/>
      <w:pPr>
        <w:ind w:left="1080" w:hanging="360"/>
      </w:pPr>
      <w:rPr>
        <w:rFonts w:ascii="Wingdings" w:eastAsiaTheme="minorHAnsi" w:hAnsi="Wingdings"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6031336">
    <w:abstractNumId w:val="0"/>
  </w:num>
  <w:num w:numId="2" w16cid:durableId="1553074552">
    <w:abstractNumId w:val="1"/>
  </w:num>
  <w:num w:numId="3" w16cid:durableId="1904754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FC"/>
    <w:rsid w:val="000B2091"/>
    <w:rsid w:val="003714CD"/>
    <w:rsid w:val="00BA27FC"/>
    <w:rsid w:val="00D660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228E"/>
  <w15:chartTrackingRefBased/>
  <w15:docId w15:val="{16CF0268-A6C2-49AD-8621-3592D888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7FC"/>
    <w:pPr>
      <w:bidi/>
    </w:pPr>
    <w:rPr>
      <w:rFonts w:ascii="David" w:hAnsi="David" w:cs="David"/>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368</Words>
  <Characters>1840</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1</cp:revision>
  <dcterms:created xsi:type="dcterms:W3CDTF">2023-10-15T05:23:00Z</dcterms:created>
  <dcterms:modified xsi:type="dcterms:W3CDTF">2023-10-15T05:28:00Z</dcterms:modified>
</cp:coreProperties>
</file>