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, {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} </w:t>
      </w:r>
      <w:r w:rsidDel="00000000" w:rsidR="00000000" w:rsidRPr="00000000">
        <w:rPr>
          <w:b w:val="1"/>
          <w:rtl w:val="1"/>
        </w:rPr>
        <w:t xml:space="preserve">תולדות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אאחרנייתא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לניכוש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uprooting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weeds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ולעידור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hoeing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ולכיסוח</w:t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0"/>
        </w:rPr>
        <w:t xml:space="preserve">cutting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weeds</w:t>
      </w:r>
      <w:r w:rsidDel="00000000" w:rsidR="00000000" w:rsidRPr="00000000">
        <w:rPr>
          <w:rtl w:val="1"/>
        </w:rPr>
        <w:t xml:space="preserve">}?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מקרסמין</w:t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0"/>
        </w:rPr>
        <w:t xml:space="preserve">prune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מזרדין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trim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branches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מפסגין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chop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branches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מזבלין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fertilize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remove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stones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roots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מאבקין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cover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exposed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roots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מעשנין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fumigate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יקשקש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loosen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יעדר</w:t>
      </w:r>
      <w:r w:rsidDel="00000000" w:rsidR="00000000" w:rsidRPr="00000000">
        <w:rPr>
          <w:rtl w:val="1"/>
        </w:rPr>
        <w:t xml:space="preserve">  {</w:t>
      </w:r>
      <w:r w:rsidDel="00000000" w:rsidR="00000000" w:rsidRPr="00000000">
        <w:rPr>
          <w:rtl w:val="0"/>
        </w:rPr>
        <w:t xml:space="preserve">hoeing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ושבכרם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ושבכרם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וקרא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אסמכתא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וקשקוש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מלקשקש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מלסקל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סתומי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פילי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sealing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cracks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1"/>
        </w:rPr>
        <w:t xml:space="preserve">}. </w:t>
      </w:r>
      <w:r w:rsidDel="00000000" w:rsidR="00000000" w:rsidRPr="00000000">
        <w:rPr>
          <w:b w:val="1"/>
          <w:rtl w:val="1"/>
        </w:rPr>
        <w:t xml:space="preserve">אברויי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אילן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סתומי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פילי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שרי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אוקומי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אילנא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גיזום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אברויי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אילנא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ואסור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סתומי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פסידא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אברויי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קשקוש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}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{</w:t>
      </w:r>
      <w:r w:rsidDel="00000000" w:rsidR="00000000" w:rsidRPr="00000000">
        <w:rPr>
          <w:rtl w:val="1"/>
        </w:rPr>
        <w:t xml:space="preserve">ששביעית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ממעכן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בצנעא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סתומי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אסיר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קשקוש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ולהשביחו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הבקיאין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הפסד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כ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עוגיות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לגפנים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....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הפסד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דאורייתא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כששמיטה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מבלעדן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נחשב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לאוקומי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עץ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לקוץ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האילן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שהפקירה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יבשיל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פירותיו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מעדני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אוירבך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דהפקירא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