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jc w:val="center"/>
        <w:rPr>
          <w:b w:val="1"/>
          <w:sz w:val="36"/>
          <w:szCs w:val="36"/>
          <w:u w:val="single"/>
        </w:rPr>
      </w:pPr>
      <w:bookmarkStart w:colFirst="0" w:colLast="0" w:name="_9utxtfr7fajf" w:id="0"/>
      <w:bookmarkEnd w:id="0"/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בעיות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במכירת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חמץ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1]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פסחים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מאכיל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ולעופות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בהנאתו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זמנו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בהנאתו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2]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תוספתא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פסחים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3]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יג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אצטרך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4]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הריטב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פסחים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… </w:t>
      </w:r>
      <w:r w:rsidDel="00000000" w:rsidR="00000000" w:rsidRPr="00000000">
        <w:rPr>
          <w:sz w:val="24"/>
          <w:szCs w:val="24"/>
          <w:rtl w:val="1"/>
        </w:rPr>
        <w:t xml:space="preserve">בתוספתא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ואקח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ובלבד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יערים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רגיל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למכור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לגוי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הפסח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וליטול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הפסח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קנסינן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ולכל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לאחר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הפסח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שעשאוהו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המופקד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לפקדון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5]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יוסף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תמח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תוספתא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יערים</w:t>
      </w:r>
      <w:r w:rsidDel="00000000" w:rsidR="00000000" w:rsidRPr="00000000">
        <w:rPr>
          <w:sz w:val="24"/>
          <w:szCs w:val="24"/>
          <w:rtl w:val="1"/>
        </w:rPr>
        <w:t xml:space="preserve">." </w:t>
      </w:r>
      <w:r w:rsidDel="00000000" w:rsidR="00000000" w:rsidRPr="00000000">
        <w:rPr>
          <w:sz w:val="24"/>
          <w:szCs w:val="24"/>
          <w:rtl w:val="1"/>
        </w:rPr>
        <w:t xml:space="preserve">ואיני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וללקחו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שמוציאו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?! </w:t>
      </w:r>
      <w:r w:rsidDel="00000000" w:rsidR="00000000" w:rsidRPr="00000000">
        <w:rPr>
          <w:sz w:val="24"/>
          <w:szCs w:val="24"/>
          <w:rtl w:val="1"/>
        </w:rPr>
        <w:t xml:space="preserve">ואפשר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יערים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דקאמר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תנאי</w:t>
      </w:r>
      <w:r w:rsidDel="00000000" w:rsidR="00000000" w:rsidRPr="00000000">
        <w:rPr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6]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תמח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right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שוגג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אנוס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ויתננו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שיתננו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7]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תרומת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הדשן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קכ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שאלה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נכרי</w:t>
      </w:r>
      <w:r w:rsidDel="00000000" w:rsidR="00000000" w:rsidRPr="00000000">
        <w:rPr>
          <w:sz w:val="24"/>
          <w:szCs w:val="24"/>
          <w:rtl w:val="1"/>
        </w:rPr>
        <w:t xml:space="preserve"> ...</w:t>
      </w:r>
      <w:r w:rsidDel="00000000" w:rsidR="00000000" w:rsidRPr="00000000">
        <w:rPr>
          <w:sz w:val="24"/>
          <w:szCs w:val="24"/>
          <w:rtl w:val="1"/>
        </w:rPr>
        <w:t xml:space="preserve">ישמרם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תשובה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מועט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8] 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תרומת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הדשן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קיט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שאלה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מרקחת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העשוין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מבלילת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ומחפין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וגרעינים</w:t>
      </w:r>
      <w:r w:rsidDel="00000000" w:rsidR="00000000" w:rsidRPr="00000000">
        <w:rPr>
          <w:sz w:val="24"/>
          <w:szCs w:val="24"/>
          <w:rtl w:val="1"/>
        </w:rPr>
        <w:t xml:space="preserve">,,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להשהותם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תשובה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לאסור</w:t>
      </w:r>
      <w:r w:rsidDel="00000000" w:rsidR="00000000" w:rsidRPr="00000000">
        <w:rPr>
          <w:sz w:val="24"/>
          <w:szCs w:val="24"/>
          <w:rtl w:val="1"/>
        </w:rPr>
        <w:t xml:space="preserve">… </w:t>
      </w:r>
      <w:r w:rsidDel="00000000" w:rsidR="00000000" w:rsidRPr="00000000">
        <w:rPr>
          <w:sz w:val="24"/>
          <w:szCs w:val="24"/>
          <w:rtl w:val="1"/>
        </w:rPr>
        <w:t xml:space="preserve">וראוי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לבית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ויזכה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9]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יוסף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תמח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דשרי</w:t>
      </w:r>
      <w:r w:rsidDel="00000000" w:rsidR="00000000" w:rsidRPr="00000000">
        <w:rPr>
          <w:sz w:val="24"/>
          <w:szCs w:val="24"/>
          <w:rtl w:val="1"/>
        </w:rPr>
        <w:t xml:space="preserve"> ...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10]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תמח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למכרם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שבחדר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לגוי</w:t>
      </w:r>
      <w:r w:rsidDel="00000000" w:rsidR="00000000" w:rsidRPr="00000000">
        <w:rPr>
          <w:sz w:val="24"/>
          <w:szCs w:val="24"/>
          <w:rtl w:val="1"/>
        </w:rPr>
        <w:t xml:space="preserve">. ...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ומיהו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לגוי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המפתח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ובלבד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יערים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ופסוקה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כסף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 &amp;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משיכה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11]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ויקרא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רו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ית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ָ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ַּ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ית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ָ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ֶ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12]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מציעא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מז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קונות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13]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בכורות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לעמיתך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לעמיתך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14]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קנינו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שימשוך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15]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תוספות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כישראל</w:t>
      </w:r>
      <w:r w:rsidDel="00000000" w:rsidR="00000000" w:rsidRPr="00000000">
        <w:rPr>
          <w:sz w:val="24"/>
          <w:szCs w:val="24"/>
          <w:rtl w:val="1"/>
        </w:rPr>
        <w:t xml:space="preserve"> …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הזהב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דבכורות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16]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תוספות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לפוטרה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הבכורה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שיתן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העובד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כוכבים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כסף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וגם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משיכת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העובד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כוכבים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בסימטא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ינעול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…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ימשוך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חדר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חצר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17]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בכורות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אוזן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ויקנה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שהבהמה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עומדת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ויקנה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אוזן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הבהמה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בבכור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18]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שכ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לשתף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מהבכורה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שמפקיע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קדושתו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מכשול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ובעבודה</w:t>
      </w:r>
      <w:r w:rsidDel="00000000" w:rsidR="00000000" w:rsidRPr="00000000">
        <w:rPr>
          <w:sz w:val="24"/>
          <w:szCs w:val="24"/>
          <w:rtl w:val="1"/>
        </w:rPr>
        <w:t xml:space="preserve"> ...</w:t>
      </w:r>
      <w:r w:rsidDel="00000000" w:rsidR="00000000" w:rsidRPr="00000000">
        <w:rPr>
          <w:sz w:val="24"/>
          <w:szCs w:val="24"/>
          <w:rtl w:val="1"/>
        </w:rPr>
        <w:t xml:space="preserve">והקנין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וימשוך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לרשותו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19]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חושן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משפט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וממכר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קצד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נתינת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הכסף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20]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עבודת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כוכבים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&lt;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&gt;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ובסוריא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מוכרים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ומשכירים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ובחוצה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מוכרים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21] </w:t>
      </w:r>
      <w:r w:rsidDel="00000000" w:rsidR="00000000" w:rsidRPr="00000000">
        <w:rPr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קנא</w:t>
      </w:r>
      <w:r w:rsidDel="00000000" w:rsidR="00000000" w:rsidRPr="00000000">
        <w:rPr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מוכרין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ובשכירות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חנייה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שמפקיעה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22]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מציעא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איתרבאי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איתרבאי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23]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מציעא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איתרבאי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כדתניא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קידושין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)... </w:t>
      </w:r>
      <w:r w:rsidDel="00000000" w:rsidR="00000000" w:rsidRPr="00000000">
        <w:rPr>
          <w:sz w:val="24"/>
          <w:szCs w:val="24"/>
          <w:rtl w:val="1"/>
        </w:rPr>
        <w:t xml:space="preserve">ושלחה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מלמד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אתרבאי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כשלוחה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24]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ינאי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ברית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25]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החושן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קצד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במטלטלין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דקמאי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תרווייהו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לאפוקי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….,</w:t>
      </w: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הספיקות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דהתוס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והרא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והטור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שבכלם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נוהגין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'),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ותמיהא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דחצר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קונה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הבהמה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החמץ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שליחות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בסמוכין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בסמוכה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כדאיתא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דמציעא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)]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שליחות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לעכו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לדידהו</w:t>
      </w:r>
      <w:r w:rsidDel="00000000" w:rsidR="00000000" w:rsidRPr="00000000">
        <w:rPr>
          <w:sz w:val="24"/>
          <w:szCs w:val="24"/>
          <w:rtl w:val="1"/>
        </w:rPr>
        <w:t xml:space="preserve">?...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ומצאתי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ברבינו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ירוחם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...</w:t>
      </w:r>
      <w:r w:rsidDel="00000000" w:rsidR="00000000" w:rsidRPr="00000000">
        <w:rPr>
          <w:sz w:val="24"/>
          <w:szCs w:val="24"/>
          <w:rtl w:val="1"/>
        </w:rPr>
        <w:t xml:space="preserve">וז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אוזן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וימשוך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אוזן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ואמרתי</w:t>
      </w:r>
      <w:r w:rsidDel="00000000" w:rsidR="00000000" w:rsidRPr="00000000">
        <w:rPr>
          <w:sz w:val="24"/>
          <w:szCs w:val="24"/>
          <w:rtl w:val="1"/>
        </w:rPr>
        <w:t xml:space="preserve"> … </w:t>
      </w:r>
      <w:r w:rsidDel="00000000" w:rsidR="00000000" w:rsidRPr="00000000">
        <w:rPr>
          <w:sz w:val="24"/>
          <w:szCs w:val="24"/>
          <w:rtl w:val="1"/>
        </w:rPr>
        <w:t xml:space="preserve">דלכולהו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ולדידי</w:t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ואגבו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ואגבו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וקלסו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אגב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26]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העתק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מכתיבת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אאמ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הגאון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0"/>
        </w:rPr>
        <w:t xml:space="preserve">Nodeh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BeYehudah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פראג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ומובחר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שבדרכים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המטלטלים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פקפוק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וחלוטה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בשכירות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והמטלטלים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חלוטה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המטלטלים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431.99999999999994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27]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431.99999999999994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עמהם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431.99999999999994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המקנה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כאחד</w:t>
      </w:r>
      <w:r w:rsidDel="00000000" w:rsidR="00000000" w:rsidRPr="00000000">
        <w:rPr>
          <w:sz w:val="24"/>
          <w:szCs w:val="24"/>
          <w:rtl w:val="1"/>
        </w:rPr>
        <w:t xml:space="preserve"> ...</w:t>
      </w:r>
      <w:r w:rsidDel="00000000" w:rsidR="00000000" w:rsidRPr="00000000">
        <w:rPr>
          <w:sz w:val="24"/>
          <w:szCs w:val="24"/>
          <w:rtl w:val="1"/>
        </w:rPr>
        <w:t xml:space="preserve">החזיק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בקרקעות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הקרקע</w:t>
      </w:r>
      <w:r w:rsidDel="00000000" w:rsidR="00000000" w:rsidRPr="00000000">
        <w:rPr>
          <w:sz w:val="24"/>
          <w:szCs w:val="24"/>
          <w:rtl w:val="1"/>
        </w:rPr>
        <w:t xml:space="preserve">,... </w:t>
      </w:r>
      <w:r w:rsidDel="00000000" w:rsidR="00000000" w:rsidRPr="00000000">
        <w:rPr>
          <w:sz w:val="24"/>
          <w:szCs w:val="24"/>
          <w:rtl w:val="1"/>
        </w:rPr>
        <w:t xml:space="preserve">שהעבד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431.99999999999994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28]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השגת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הראב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431.99999999999994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בתוכה</w:t>
      </w:r>
      <w:r w:rsidDel="00000000" w:rsidR="00000000" w:rsidRPr="00000000">
        <w:rPr>
          <w:sz w:val="24"/>
          <w:szCs w:val="24"/>
          <w:rtl w:val="1"/>
        </w:rPr>
        <w:t xml:space="preserve">…?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29]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האזל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מכירה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431.99999999999994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שנטפלו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דהטפלה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הקנין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431.99999999999994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דהטפלות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בעצם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המטלטלין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דהמטלטלין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נטפלים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להקרקע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להקרקע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בהבעלים</w:t>
      </w:r>
      <w:r w:rsidDel="00000000" w:rsidR="00000000" w:rsidRPr="00000000">
        <w:rPr>
          <w:sz w:val="24"/>
          <w:szCs w:val="24"/>
          <w:rtl w:val="1"/>
        </w:rPr>
        <w:t xml:space="preserve">…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להקרקע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431.99999999999994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30]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ציון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בשכירות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ישכירנו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ומטלטליו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בשכירות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שנוסע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ואשתו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החדר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31]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הרשב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תתקלד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גמליאל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וזקנים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גמליאל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32]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הרשב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חלק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תתקלה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כנסיות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ידועים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כמושאל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33]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ביאור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תמח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בדבר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מועט</w:t>
      </w:r>
      <w:r w:rsidDel="00000000" w:rsidR="00000000" w:rsidRPr="00000000">
        <w:rPr>
          <w:sz w:val="30"/>
          <w:szCs w:val="30"/>
          <w:rtl w:val="1"/>
        </w:rPr>
        <w:t xml:space="preserve"> 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...</w:t>
      </w:r>
      <w:r w:rsidDel="00000000" w:rsidR="00000000" w:rsidRPr="00000000">
        <w:rPr>
          <w:sz w:val="24"/>
          <w:szCs w:val="24"/>
          <w:rtl w:val="1"/>
        </w:rPr>
        <w:t xml:space="preserve">ולענין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</w:t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כמעט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למובחר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שבקנינים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הדחק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עיין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בת</w:t>
      </w:r>
      <w:r w:rsidDel="00000000" w:rsidR="00000000" w:rsidRPr="00000000">
        <w:rPr>
          <w:sz w:val="16"/>
          <w:szCs w:val="16"/>
          <w:rtl w:val="1"/>
        </w:rPr>
        <w:t xml:space="preserve">' </w:t>
      </w:r>
      <w:r w:rsidDel="00000000" w:rsidR="00000000" w:rsidRPr="00000000">
        <w:rPr>
          <w:sz w:val="16"/>
          <w:szCs w:val="16"/>
          <w:rtl w:val="1"/>
        </w:rPr>
        <w:t xml:space="preserve">נוב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י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מובא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בת</w:t>
      </w:r>
      <w:r w:rsidDel="00000000" w:rsidR="00000000" w:rsidRPr="00000000">
        <w:rPr>
          <w:sz w:val="16"/>
          <w:szCs w:val="16"/>
          <w:rtl w:val="1"/>
        </w:rPr>
        <w:t xml:space="preserve">' </w:t>
      </w:r>
      <w:r w:rsidDel="00000000" w:rsidR="00000000" w:rsidRPr="00000000">
        <w:rPr>
          <w:sz w:val="16"/>
          <w:szCs w:val="16"/>
          <w:rtl w:val="1"/>
        </w:rPr>
        <w:t xml:space="preserve">שיבת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ציון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סימן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י</w:t>
      </w:r>
      <w:r w:rsidDel="00000000" w:rsidR="00000000" w:rsidRPr="00000000">
        <w:rPr>
          <w:sz w:val="16"/>
          <w:szCs w:val="16"/>
          <w:rtl w:val="1"/>
        </w:rPr>
        <w:t xml:space="preserve">' </w:t>
      </w:r>
      <w:r w:rsidDel="00000000" w:rsidR="00000000" w:rsidRPr="00000000">
        <w:rPr>
          <w:sz w:val="16"/>
          <w:szCs w:val="16"/>
          <w:rtl w:val="1"/>
        </w:rPr>
        <w:t xml:space="preserve">ובח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ס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ח</w:t>
      </w:r>
      <w:r w:rsidDel="00000000" w:rsidR="00000000" w:rsidRPr="00000000">
        <w:rPr>
          <w:sz w:val="16"/>
          <w:szCs w:val="16"/>
          <w:rtl w:val="1"/>
        </w:rPr>
        <w:t xml:space="preserve">' </w:t>
      </w:r>
      <w:r w:rsidDel="00000000" w:rsidR="00000000" w:rsidRPr="00000000">
        <w:rPr>
          <w:sz w:val="16"/>
          <w:szCs w:val="16"/>
          <w:rtl w:val="1"/>
        </w:rPr>
        <w:t xml:space="preserve">או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ח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סימן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קי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ג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וקי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ז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וכתב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דמצא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להרמב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במלחמות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בפ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ב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דפסחים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שכתב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להדיא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קנין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זה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בחמץ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וכן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הט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ז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ביו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ד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סימן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כ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בביאור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לשון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השו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ע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עיי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וכן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הגאון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מהר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קאידנאווער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בת</w:t>
      </w:r>
      <w:r w:rsidDel="00000000" w:rsidR="00000000" w:rsidRPr="00000000">
        <w:rPr>
          <w:sz w:val="16"/>
          <w:szCs w:val="16"/>
          <w:rtl w:val="1"/>
        </w:rPr>
        <w:t xml:space="preserve">' </w:t>
      </w:r>
      <w:r w:rsidDel="00000000" w:rsidR="00000000" w:rsidRPr="00000000">
        <w:rPr>
          <w:sz w:val="16"/>
          <w:szCs w:val="16"/>
          <w:rtl w:val="1"/>
        </w:rPr>
        <w:t xml:space="preserve">נ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סימן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ל</w:t>
      </w:r>
      <w:r w:rsidDel="00000000" w:rsidR="00000000" w:rsidRPr="00000000">
        <w:rPr>
          <w:sz w:val="16"/>
          <w:szCs w:val="16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סיטומתא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סודר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שנוהגין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קנינים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מגמגם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i w:val="1"/>
          <w:sz w:val="24"/>
          <w:szCs w:val="24"/>
          <w:rtl w:val="1"/>
        </w:rPr>
        <w:t xml:space="preserve">חליפין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34]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תמח</w:t>
      </w:r>
      <w:r w:rsidDel="00000000" w:rsidR="00000000" w:rsidRPr="00000000">
        <w:rPr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b w:val="1"/>
          <w:sz w:val="24"/>
          <w:szCs w:val="24"/>
          <w:rtl w:val="1"/>
        </w:rPr>
        <w:t xml:space="preserve">יז</w:t>
      </w:r>
      <w:r w:rsidDel="00000000" w:rsidR="00000000" w:rsidRPr="00000000">
        <w:rPr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חליפין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סודר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ליזהר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סודרם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0"/>
        </w:rPr>
        <w:t xml:space="preserve">like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Kesuvah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שמזכין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זכיה</w:t>
      </w:r>
      <w:r w:rsidDel="00000000" w:rsidR="00000000" w:rsidRPr="00000000">
        <w:rPr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35]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ְּ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ִ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ְׂ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ָ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ֵ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מו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ֵּ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ָּ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ָׁ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ִ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ׁ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ֲ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ֹ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ֵ</w:t>
      </w:r>
      <w:r w:rsidDel="00000000" w:rsidR="00000000" w:rsidRPr="00000000">
        <w:rPr>
          <w:sz w:val="24"/>
          <w:szCs w:val="24"/>
          <w:rtl w:val="1"/>
        </w:rPr>
        <w:t xml:space="preserve">הו</w:t>
      </w:r>
      <w:r w:rsidDel="00000000" w:rsidR="00000000" w:rsidRPr="00000000">
        <w:rPr>
          <w:sz w:val="24"/>
          <w:szCs w:val="24"/>
          <w:rtl w:val="1"/>
        </w:rPr>
        <w:t xml:space="preserve">ּ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ְ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ֹ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ַ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ְּ</w:t>
      </w:r>
      <w:r w:rsidDel="00000000" w:rsidR="00000000" w:rsidRPr="00000000">
        <w:rPr>
          <w:sz w:val="24"/>
          <w:szCs w:val="24"/>
          <w:rtl w:val="1"/>
        </w:rPr>
        <w:t xml:space="preserve">עו</w:t>
      </w:r>
      <w:r w:rsidDel="00000000" w:rsidR="00000000" w:rsidRPr="00000000">
        <w:rPr>
          <w:sz w:val="24"/>
          <w:szCs w:val="24"/>
          <w:rtl w:val="1"/>
        </w:rPr>
        <w:t xml:space="preserve">ּ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ָ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ְּ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ִ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ְׂ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ָ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ֵ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Kinyan derabanan for mh’t?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36]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מגן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אברהם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תמח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30"/>
          <w:szCs w:val="30"/>
          <w:rtl w:val="1"/>
        </w:rPr>
        <w:t xml:space="preserve">שמחוץ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לבית</w:t>
      </w:r>
      <w:r w:rsidDel="00000000" w:rsidR="00000000" w:rsidRPr="00000000">
        <w:rPr>
          <w:sz w:val="30"/>
          <w:szCs w:val="30"/>
          <w:rtl w:val="1"/>
        </w:rPr>
        <w:t xml:space="preserve"> 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...</w:t>
      </w:r>
      <w:r w:rsidDel="00000000" w:rsidR="00000000" w:rsidRPr="00000000">
        <w:rPr>
          <w:sz w:val="24"/>
          <w:szCs w:val="24"/>
          <w:rtl w:val="1"/>
        </w:rPr>
        <w:t xml:space="preserve">וצריך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כהערמה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)... 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ובמשיכ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בהקנאת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בדיעבד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בכסף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לחוד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דרוב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הפוסקים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קצ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אוקמה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המפתח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בדיעבד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דתלמוד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דקדושין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שנהגו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הסוחרים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לקנו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כגון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רושם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מפתח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שנתן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כפו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לחברו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פשוט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קונה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כאן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הקנין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עכו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לישראל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דבדיניה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פשוט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0"/>
        </w:rPr>
        <w:t xml:space="preserve"> …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דאזלי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בבכורות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37] Shaarei Yosher Sha’ar 5:9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381625" cy="1695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69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Bedieved- what if these did not really work…?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38]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תמח</w:t>
      </w:r>
      <w:r w:rsidDel="00000000" w:rsidR="00000000" w:rsidRPr="00000000">
        <w:rPr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b w:val="1"/>
          <w:sz w:val="24"/>
          <w:szCs w:val="24"/>
          <w:rtl w:val="1"/>
        </w:rPr>
        <w:t xml:space="preserve">יז</w:t>
      </w:r>
      <w:r w:rsidDel="00000000" w:rsidR="00000000" w:rsidRPr="00000000">
        <w:rPr>
          <w:b w:val="1"/>
          <w:sz w:val="24"/>
          <w:szCs w:val="24"/>
          <w:rtl w:val="1"/>
        </w:rPr>
        <w:t xml:space="preserve">)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באחד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משארי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שהזכרנו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מז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מקנסא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בקנין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סגי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דעכ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מגלי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דעתיה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ניחא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ואפקיה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מרשותו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Returning the chametz after Pesach-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39]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ביאור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תמח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מכירה</w:t>
      </w:r>
      <w:r w:rsidDel="00000000" w:rsidR="00000000" w:rsidRPr="00000000">
        <w:rPr>
          <w:sz w:val="30"/>
          <w:szCs w:val="30"/>
          <w:rtl w:val="1"/>
        </w:rPr>
        <w:t xml:space="preserve"> </w:t>
      </w:r>
      <w:r w:rsidDel="00000000" w:rsidR="00000000" w:rsidRPr="00000000">
        <w:rPr>
          <w:sz w:val="30"/>
          <w:szCs w:val="30"/>
          <w:rtl w:val="1"/>
        </w:rPr>
        <w:t xml:space="preserve">גמורה</w:t>
      </w:r>
      <w:r w:rsidDel="00000000" w:rsidR="00000000" w:rsidRPr="00000000">
        <w:rPr>
          <w:sz w:val="30"/>
          <w:szCs w:val="30"/>
          <w:rtl w:val="1"/>
        </w:rPr>
        <w:t xml:space="preserve"> -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הבגדי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שמכירת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לקנותו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והחדרים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שקיבל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סמכא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שמחזיר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line="360" w:lineRule="auto"/>
        <w:rPr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rPr>
        <w:i w:val="1"/>
        <w:sz w:val="24"/>
        <w:szCs w:val="24"/>
      </w:rPr>
    </w:pPr>
    <w:r w:rsidDel="00000000" w:rsidR="00000000" w:rsidRPr="00000000">
      <w:rPr>
        <w:i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