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קיהיב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דמשתמע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מפייסים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שיאמרו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דחזו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דשקלי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כרחייהו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חוששין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יתפייסו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פסלינהו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תיפוק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הכונס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וחמסן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פוסל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הנשבעין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שבועות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.).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דחמסן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לעדות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הוסיפו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החמסנין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הגוזל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קיט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דמייתי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דהוסיפו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החמסנין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שחצוף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לחטוף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מלקות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ולוקחים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והחמסנים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,...,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כיצד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החמסנים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הלוקחים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קרקע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מטלטלין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ברצון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הבעלים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שנותנין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הדמים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פסולין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0"/>
        </w:rPr>
        <w:t xml:space="preserve">,...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החמסנים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הוסיפו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הגזלנים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והחמסנין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ומדפרכינן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':)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דבפרקא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שסובר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גזלה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נותן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תחמוד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מפייסים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כשהפציר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והפציר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דתוספות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אוכלי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בפרהסיא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בצינעה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ובפרהסיא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לאיתזוני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בצינעה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בפרהסיא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החשוד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לעדות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ארבעין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לעיולה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משלי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גנובים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ימתקו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שכיחא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תשרי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גנב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באריסא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איכריה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דשערי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קיבורא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דאהיני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קבוראי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דקבור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נפשא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ראשון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שמתינהו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פפא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ופסלינהו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לעדות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ואכשרינהו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יהושע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פפא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והא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רשעים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נינהו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? 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סברי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עבדי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.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משמתינא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!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עבדי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