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rPr/>
      </w:pP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התקיעות</w:t>
      </w:r>
    </w:p>
    <w:p w:rsidR="00000000" w:rsidDel="00000000" w:rsidP="00000000" w:rsidRDefault="00000000" w:rsidRPr="00000000" w14:paraId="00000002">
      <w:pPr>
        <w:pStyle w:val="Heading1"/>
        <w:bidi w:val="1"/>
        <w:spacing w:after="0" w:line="240" w:lineRule="auto"/>
        <w:jc w:val="both"/>
        <w:rPr/>
      </w:pPr>
      <w:bookmarkStart w:colFirst="0" w:colLast="0" w:name="_lpk4exnlegcx" w:id="0"/>
      <w:bookmarkEnd w:id="0"/>
      <w:r w:rsidDel="00000000" w:rsidR="00000000" w:rsidRPr="00000000">
        <w:rPr>
          <w:rtl w:val="1"/>
        </w:rPr>
        <w:t xml:space="preserve">אפס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למאה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0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בבלי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מריעין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מריעין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ומריעין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יושבין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ומריעין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לערבב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בתחלתה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מריעין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איערבב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תקצב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לתקוע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שתוקעים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ומנהגים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במדינות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שתקעו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וארשת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מנהגים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תקצב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במדינות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המובחר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לתקוע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כמנהגנו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bidi w:val="1"/>
        <w:spacing w:after="0" w:line="240" w:lineRule="auto"/>
        <w:jc w:val="both"/>
        <w:rPr/>
      </w:pPr>
      <w:bookmarkStart w:colFirst="0" w:colLast="0" w:name="_a4jou8d46622" w:id="1"/>
      <w:bookmarkEnd w:id="1"/>
      <w:r w:rsidDel="00000000" w:rsidR="00000000" w:rsidRPr="00000000">
        <w:rPr>
          <w:rtl w:val="1"/>
        </w:rPr>
        <w:t xml:space="preserve">שברים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תרועה</w:t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שופר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וסוכה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ולולב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תשע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תקיעות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פשוטה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ופשוטה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השמועה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תרועות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השביעי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הכפורים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משניהן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תרועה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האמורה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נסתפק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אורך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השנים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ורוב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הגליות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יודעין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היאך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היללה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שמיללין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בנהייתן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שמיבבין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האנחה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כשידאג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האנחה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והיללה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הנקראין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הדואג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מתאנח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ונשאל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האיי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תקיעת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התרועה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כדאמרן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פליגי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שהכרעה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כזו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ידעו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אמתתה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תרועת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בגנוחי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בילולי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לעשותה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מקולות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יבבות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יוצאין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חובתן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ביניהן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הדיוטות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ותיקן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נשבר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הנוהגין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להדיוטות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ביניהן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נקיט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תלמודא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ותירוץ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הסימנין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והשלישי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בתקיעות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בתקיעות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ספיקא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התנאים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והאחרונים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וסגנון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הניגונין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מנגן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תמרור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האחרונים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מריעים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הראשונים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שמריעין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בשתיהן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בשלשתן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הוצרך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1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דרשה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והקדימו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ובעיון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לפוסלו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וחזרו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כמשנתינו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תקצב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התקיעות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הקדמונים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ותמהו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!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שתקעו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התקיעות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מטריחין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ישיבות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תיקן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שיתקעו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השינוי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טירחא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דציבורא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שאצלם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ובספרו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מהדפוס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והכוונה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ורבינו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כתקנת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הנהיגו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לתקוע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קדמונינו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שהבאנו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טירחא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דציבורא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רגעים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מאריכים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ובשארי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גאון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תקנו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קדמונינו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למלכיות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ותש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לזכרונות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ותר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לשופרות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להורות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דכולם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מעיקר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שיעשו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יוצאים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חובתם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תקצ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ובשביל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סדרים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הסדרים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תקצ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שתקע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סגי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בסדר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שיתקע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יטעו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זוהר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כרך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במדבר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פנחס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  <w:u w:val="singl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ומשפט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דאינון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דמתחברן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כחדא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תתאה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רפיא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ותרווייהו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משתכחי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בבלאי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רזא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דיבבא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ויללותא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דתרווייהו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אצטריכו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יללותא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תקיפא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תבירין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רפיא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גנוחי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רפיא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ועבדין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תרווייהו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ועבדינן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תרווייהו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David Libre" w:cs="David Libre" w:eastAsia="David Libre" w:hAnsi="David Libre"/>
          <w:b w:val="1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rPr>
          <w:rFonts w:ascii="David Libre" w:cs="David Libre" w:eastAsia="David Libre" w:hAnsi="David Libre"/>
          <w:b w:val="1"/>
          <w:sz w:val="24"/>
          <w:szCs w:val="24"/>
        </w:rPr>
      </w:pPr>
      <w:bookmarkStart w:colFirst="0" w:colLast="0" w:name="_kguwqa7b9q2v" w:id="3"/>
      <w:bookmarkEnd w:id="3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מדרש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תנחומא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בובר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תזריע</w:t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bookmarkStart w:colFirst="0" w:colLast="0" w:name="_l45pwrpay86w" w:id="4"/>
      <w:bookmarkEnd w:id="4"/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ובמלאת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טהרה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רבותינו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שהצרות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נודרת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bookmarkStart w:colFirst="0" w:colLast="0" w:name="_5wn69lxe6cf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rPr>
          <w:rFonts w:ascii="David Libre" w:cs="David Libre" w:eastAsia="David Libre" w:hAnsi="David Libre"/>
          <w:b w:val="1"/>
          <w:sz w:val="24"/>
          <w:szCs w:val="24"/>
        </w:rPr>
      </w:pPr>
      <w:bookmarkStart w:colFirst="0" w:colLast="0" w:name="_27634dp9h7bz" w:id="6"/>
      <w:bookmarkEnd w:id="6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שערים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מצוינים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בהלכה</w:t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rPr>
          <w:rFonts w:ascii="David Libre" w:cs="David Libre" w:eastAsia="David Libre" w:hAnsi="David Libre"/>
          <w:b w:val="1"/>
          <w:sz w:val="24"/>
          <w:szCs w:val="24"/>
        </w:rPr>
      </w:pPr>
      <w:bookmarkStart w:colFirst="0" w:colLast="0" w:name="_lhjendnir0r2" w:id="7"/>
      <w:bookmarkEnd w:id="7"/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דהגאולה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ובצער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ותוקעין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מלכיות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זכרונות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ושופרות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440" w:right="1440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el Schreiber" w:id="1" w:date="2016-09-11T22:56:00Z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Order would matter according to Rambam, but not according to R. Hai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Machshava – why do we have 100 blows? Tosfos says we are imitating the 100 cries of Sisra’s mother. Why hers?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Soloveitchik: Because we should also be crying at our illusions being shattered.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Alternatively, we are recalling the fact that Yael engaged in an aveirah lishma (and not just a necessary aveirah), which confuses the Satan because it shows subjugation of the yetzer hara.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Asher Weiss: Maybe it’s Hashem who is crying because He is waiting for us.</w:t>
      </w:r>
    </w:p>
  </w:comment>
  <w:comment w:author="Dani Schreiber" w:id="0" w:date="2020-09-07T17:27:07Z"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Aruch is the one who introduces the 100 kolot from Sisera's mother. R. Eliyahu Kitov suggests that it's because there are one hundred and one letters in her lament.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not 101? In some communities they do 101. But in ours we don't. Maybe because we are nullifying her cries which , but 1 cry is not nullified - the cry of a mother for her son.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Sephardic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101,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מיכאל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Shelema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quotes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midrash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עקידת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